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09"/>
        <w:gridCol w:w="1428"/>
        <w:gridCol w:w="3463"/>
      </w:tblGrid>
      <w:tr w:rsidR="00136BB3" w:rsidRPr="00136BB3" w:rsidTr="00C348E3">
        <w:trPr>
          <w:trHeight w:val="1625"/>
        </w:trPr>
        <w:tc>
          <w:tcPr>
            <w:tcW w:w="4509" w:type="dxa"/>
          </w:tcPr>
          <w:p w:rsidR="00136BB3" w:rsidRPr="00136BB3" w:rsidRDefault="00136BB3" w:rsidP="00C348E3">
            <w:pPr>
              <w:rPr>
                <w:b/>
                <w:sz w:val="22"/>
                <w:szCs w:val="22"/>
              </w:rPr>
            </w:pPr>
            <w:r w:rsidRPr="00136BB3">
              <w:rPr>
                <w:b/>
                <w:sz w:val="22"/>
                <w:szCs w:val="22"/>
              </w:rPr>
              <w:t>BOSNA I HERCEGOVINA</w:t>
            </w:r>
          </w:p>
          <w:p w:rsidR="00136BB3" w:rsidRPr="00136BB3" w:rsidRDefault="00136BB3" w:rsidP="00136BB3">
            <w:pPr>
              <w:rPr>
                <w:b/>
                <w:sz w:val="22"/>
                <w:szCs w:val="22"/>
              </w:rPr>
            </w:pPr>
            <w:r w:rsidRPr="00136BB3">
              <w:rPr>
                <w:b/>
                <w:sz w:val="22"/>
                <w:szCs w:val="22"/>
              </w:rPr>
              <w:t>FEDERACIJA BOSNE I HERCEGOVINE</w:t>
            </w:r>
            <w:r>
              <w:rPr>
                <w:b/>
                <w:sz w:val="22"/>
                <w:szCs w:val="22"/>
              </w:rPr>
              <w:t xml:space="preserve"> </w:t>
            </w:r>
            <w:r w:rsidRPr="00136BB3">
              <w:rPr>
                <w:b/>
                <w:sz w:val="22"/>
                <w:szCs w:val="22"/>
              </w:rPr>
              <w:t>ZENIČKO-DOBOJSKI KANTON</w:t>
            </w:r>
          </w:p>
          <w:p w:rsidR="00136BB3" w:rsidRPr="00136BB3" w:rsidRDefault="00A7633E" w:rsidP="00C348E3">
            <w:pPr>
              <w:pStyle w:val="Header"/>
              <w:rPr>
                <w:b/>
                <w:sz w:val="22"/>
                <w:szCs w:val="22"/>
                <w:lang w:val="hr-HR"/>
              </w:rPr>
            </w:pPr>
            <w:r>
              <w:rPr>
                <w:b/>
                <w:sz w:val="22"/>
                <w:szCs w:val="22"/>
              </w:rPr>
              <w:t xml:space="preserve">GRAD </w:t>
            </w:r>
            <w:r w:rsidR="00136BB3" w:rsidRPr="00136BB3">
              <w:rPr>
                <w:b/>
                <w:sz w:val="22"/>
                <w:szCs w:val="22"/>
                <w:lang w:val="hr-HR"/>
              </w:rPr>
              <w:t>ZAVIDOVIĆI</w:t>
            </w:r>
          </w:p>
          <w:p w:rsidR="00136BB3" w:rsidRPr="00136BB3" w:rsidRDefault="00136BB3" w:rsidP="00063F1D">
            <w:pPr>
              <w:pStyle w:val="Header"/>
              <w:rPr>
                <w:b/>
                <w:sz w:val="22"/>
                <w:szCs w:val="22"/>
              </w:rPr>
            </w:pPr>
          </w:p>
        </w:tc>
        <w:tc>
          <w:tcPr>
            <w:tcW w:w="1428" w:type="dxa"/>
          </w:tcPr>
          <w:p w:rsidR="00136BB3" w:rsidRPr="00136BB3" w:rsidRDefault="00136BB3" w:rsidP="00C348E3">
            <w:pPr>
              <w:rPr>
                <w:b/>
                <w:sz w:val="22"/>
                <w:szCs w:val="22"/>
              </w:rPr>
            </w:pPr>
            <w:r w:rsidRPr="00136BB3">
              <w:rPr>
                <w:b/>
                <w:sz w:val="22"/>
                <w:szCs w:val="22"/>
                <w:lang w:val="bs-Latn-BA"/>
              </w:rPr>
              <w:object w:dxaOrig="2619" w:dyaOrig="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in" o:ole="" fillcolor="window">
                  <v:imagedata r:id="rId8" o:title=""/>
                </v:shape>
                <o:OLEObject Type="Embed" ProgID="CorelDRAW.Graphic.13" ShapeID="_x0000_i1025" DrawAspect="Content" ObjectID="_1747814273" r:id="rId9"/>
              </w:object>
            </w:r>
          </w:p>
        </w:tc>
        <w:tc>
          <w:tcPr>
            <w:tcW w:w="3463" w:type="dxa"/>
          </w:tcPr>
          <w:p w:rsidR="00136BB3" w:rsidRPr="00136BB3" w:rsidRDefault="00136BB3" w:rsidP="00C348E3">
            <w:pPr>
              <w:rPr>
                <w:b/>
                <w:sz w:val="22"/>
                <w:szCs w:val="22"/>
              </w:rPr>
            </w:pPr>
          </w:p>
          <w:p w:rsidR="00136BB3" w:rsidRPr="00136BB3" w:rsidRDefault="00136BB3" w:rsidP="00C348E3">
            <w:pPr>
              <w:rPr>
                <w:b/>
                <w:sz w:val="22"/>
                <w:szCs w:val="22"/>
              </w:rPr>
            </w:pPr>
          </w:p>
          <w:p w:rsidR="00136BB3" w:rsidRPr="00136BB3" w:rsidRDefault="00136BB3" w:rsidP="00C348E3">
            <w:pPr>
              <w:rPr>
                <w:b/>
                <w:sz w:val="22"/>
                <w:szCs w:val="22"/>
              </w:rPr>
            </w:pPr>
          </w:p>
          <w:p w:rsidR="00136BB3" w:rsidRPr="00136BB3" w:rsidRDefault="00136BB3" w:rsidP="00C348E3">
            <w:pPr>
              <w:rPr>
                <w:b/>
                <w:sz w:val="22"/>
                <w:szCs w:val="22"/>
              </w:rPr>
            </w:pPr>
          </w:p>
          <w:p w:rsidR="00136BB3" w:rsidRPr="00136BB3" w:rsidRDefault="00136BB3" w:rsidP="00C348E3">
            <w:pPr>
              <w:rPr>
                <w:b/>
                <w:sz w:val="22"/>
                <w:szCs w:val="22"/>
              </w:rPr>
            </w:pPr>
          </w:p>
          <w:p w:rsidR="00136BB3" w:rsidRPr="00136BB3" w:rsidRDefault="00136BB3" w:rsidP="00C348E3">
            <w:pPr>
              <w:pStyle w:val="Header"/>
              <w:rPr>
                <w:b/>
                <w:sz w:val="22"/>
                <w:szCs w:val="22"/>
                <w:lang w:val="hr-HR"/>
              </w:rPr>
            </w:pPr>
          </w:p>
        </w:tc>
      </w:tr>
    </w:tbl>
    <w:p w:rsidR="00B6443F" w:rsidRDefault="005E11DC">
      <w:pPr>
        <w:rPr>
          <w:lang w:val="hr-HR"/>
        </w:rPr>
      </w:pPr>
      <w:r>
        <w:rPr>
          <w:lang w:val="hr-HR"/>
        </w:rPr>
        <w:t xml:space="preserve">Broj: </w:t>
      </w:r>
      <w:r w:rsidR="00DB1C27">
        <w:rPr>
          <w:lang w:val="hr-HR"/>
        </w:rPr>
        <w:t xml:space="preserve"> </w:t>
      </w:r>
      <w:r w:rsidR="008A1622">
        <w:rPr>
          <w:lang w:val="hr-HR"/>
        </w:rPr>
        <w:t>02-11-</w:t>
      </w:r>
      <w:r w:rsidR="00FD0C3E">
        <w:rPr>
          <w:lang w:val="hr-HR"/>
        </w:rPr>
        <w:t>1432</w:t>
      </w:r>
      <w:r>
        <w:rPr>
          <w:lang w:val="hr-HR"/>
        </w:rPr>
        <w:t xml:space="preserve"> </w:t>
      </w:r>
      <w:r w:rsidR="00406C1E">
        <w:rPr>
          <w:lang w:val="hr-HR"/>
        </w:rPr>
        <w:t>/</w:t>
      </w:r>
      <w:r w:rsidR="00DB1C27">
        <w:rPr>
          <w:lang w:val="hr-HR"/>
        </w:rPr>
        <w:t xml:space="preserve"> </w:t>
      </w:r>
      <w:r w:rsidR="008A1622">
        <w:rPr>
          <w:lang w:val="hr-HR"/>
        </w:rPr>
        <w:t>2</w:t>
      </w:r>
      <w:r w:rsidR="00A51F2F">
        <w:rPr>
          <w:lang w:val="hr-HR"/>
        </w:rPr>
        <w:t>3</w:t>
      </w:r>
    </w:p>
    <w:p w:rsidR="00B6443F" w:rsidRPr="00575863" w:rsidRDefault="008A1622">
      <w:pPr>
        <w:rPr>
          <w:lang w:val="hr-HR"/>
        </w:rPr>
      </w:pPr>
      <w:r>
        <w:rPr>
          <w:lang w:val="hr-HR"/>
        </w:rPr>
        <w:t>Datum:</w:t>
      </w:r>
      <w:r w:rsidR="00DB1C27">
        <w:rPr>
          <w:lang w:val="hr-HR"/>
        </w:rPr>
        <w:t xml:space="preserve">  </w:t>
      </w:r>
      <w:r w:rsidR="00A51F2F">
        <w:rPr>
          <w:lang w:val="hr-HR"/>
        </w:rPr>
        <w:t xml:space="preserve"> </w:t>
      </w:r>
      <w:r w:rsidR="00FD0C3E">
        <w:rPr>
          <w:lang w:val="hr-HR"/>
        </w:rPr>
        <w:t>0</w:t>
      </w:r>
      <w:r w:rsidR="00F906D2">
        <w:rPr>
          <w:lang w:val="hr-HR"/>
        </w:rPr>
        <w:t>9</w:t>
      </w:r>
      <w:r w:rsidR="00FD0C3E">
        <w:rPr>
          <w:lang w:val="hr-HR"/>
        </w:rPr>
        <w:t>.06.2023.</w:t>
      </w:r>
      <w:r w:rsidR="00DB1C27">
        <w:rPr>
          <w:lang w:val="hr-HR"/>
        </w:rPr>
        <w:t xml:space="preserve"> </w:t>
      </w:r>
      <w:r>
        <w:rPr>
          <w:lang w:val="hr-HR"/>
        </w:rPr>
        <w:t>godine</w:t>
      </w:r>
    </w:p>
    <w:p w:rsidR="00B6443F" w:rsidRDefault="00B6443F">
      <w:pPr>
        <w:rPr>
          <w:lang w:val="hr-HR"/>
        </w:rPr>
      </w:pPr>
    </w:p>
    <w:p w:rsidR="00136BB3" w:rsidRDefault="00136BB3">
      <w:pPr>
        <w:rPr>
          <w:lang w:val="hr-HR"/>
        </w:rPr>
      </w:pPr>
    </w:p>
    <w:p w:rsidR="00136BB3" w:rsidRDefault="00136BB3">
      <w:pPr>
        <w:rPr>
          <w:lang w:val="hr-HR"/>
        </w:rPr>
      </w:pPr>
    </w:p>
    <w:p w:rsidR="00136BB3" w:rsidRPr="00575863" w:rsidRDefault="00136BB3">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B6443F" w:rsidRPr="00F85FC9" w:rsidRDefault="00B6443F">
      <w:pPr>
        <w:jc w:val="center"/>
        <w:rPr>
          <w:b/>
          <w:sz w:val="28"/>
          <w:szCs w:val="28"/>
          <w:lang w:val="hr-HR"/>
        </w:rPr>
      </w:pPr>
      <w:r w:rsidRPr="00F85FC9">
        <w:rPr>
          <w:b/>
          <w:sz w:val="28"/>
          <w:szCs w:val="28"/>
          <w:lang w:val="hr-HR"/>
        </w:rPr>
        <w:t>DOKUMENT OKVIRNOG BUDŽETA</w:t>
      </w:r>
    </w:p>
    <w:p w:rsidR="00B6443F" w:rsidRPr="00F85FC9" w:rsidRDefault="00DB1C27">
      <w:pPr>
        <w:jc w:val="center"/>
        <w:rPr>
          <w:b/>
          <w:sz w:val="28"/>
          <w:szCs w:val="28"/>
          <w:lang w:val="hr-HR"/>
        </w:rPr>
      </w:pPr>
      <w:r w:rsidRPr="00F85FC9">
        <w:rPr>
          <w:b/>
          <w:sz w:val="28"/>
          <w:szCs w:val="28"/>
          <w:lang w:val="hr-HR"/>
        </w:rPr>
        <w:t>GRADA</w:t>
      </w:r>
      <w:r w:rsidR="00F4412C" w:rsidRPr="00F85FC9">
        <w:rPr>
          <w:b/>
          <w:sz w:val="28"/>
          <w:szCs w:val="28"/>
          <w:lang w:val="hr-HR"/>
        </w:rPr>
        <w:t xml:space="preserve"> ZAVIDOVIĆI</w:t>
      </w:r>
      <w:r w:rsidR="00B6443F" w:rsidRPr="00F85FC9">
        <w:rPr>
          <w:b/>
          <w:sz w:val="28"/>
          <w:szCs w:val="28"/>
          <w:lang w:val="hr-HR"/>
        </w:rPr>
        <w:t xml:space="preserve"> ZA PERIOD</w:t>
      </w:r>
    </w:p>
    <w:p w:rsidR="00B6443F" w:rsidRPr="00F85FC9" w:rsidRDefault="00772710" w:rsidP="005801EC">
      <w:pPr>
        <w:jc w:val="center"/>
        <w:rPr>
          <w:b/>
          <w:sz w:val="28"/>
          <w:szCs w:val="28"/>
          <w:lang w:val="hr-HR"/>
        </w:rPr>
      </w:pPr>
      <w:r w:rsidRPr="00F85FC9">
        <w:rPr>
          <w:b/>
          <w:sz w:val="28"/>
          <w:szCs w:val="28"/>
          <w:lang w:val="hr-HR"/>
        </w:rPr>
        <w:t>20</w:t>
      </w:r>
      <w:r w:rsidR="00A9752A" w:rsidRPr="00F85FC9">
        <w:rPr>
          <w:b/>
          <w:sz w:val="28"/>
          <w:szCs w:val="28"/>
          <w:lang w:val="hr-HR"/>
        </w:rPr>
        <w:t>2</w:t>
      </w:r>
      <w:r w:rsidR="006C61C0">
        <w:rPr>
          <w:b/>
          <w:sz w:val="28"/>
          <w:szCs w:val="28"/>
          <w:lang w:val="hr-HR"/>
        </w:rPr>
        <w:t>4</w:t>
      </w:r>
      <w:r w:rsidR="005801EC" w:rsidRPr="00F85FC9">
        <w:rPr>
          <w:b/>
          <w:sz w:val="28"/>
          <w:szCs w:val="28"/>
          <w:lang w:val="hr-HR"/>
        </w:rPr>
        <w:t xml:space="preserve">. – </w:t>
      </w:r>
      <w:r w:rsidRPr="00F85FC9">
        <w:rPr>
          <w:b/>
          <w:sz w:val="28"/>
          <w:szCs w:val="28"/>
          <w:lang w:val="hr-HR"/>
        </w:rPr>
        <w:t>202</w:t>
      </w:r>
      <w:r w:rsidR="006C61C0">
        <w:rPr>
          <w:b/>
          <w:sz w:val="28"/>
          <w:szCs w:val="28"/>
          <w:lang w:val="hr-HR"/>
        </w:rPr>
        <w:t>6</w:t>
      </w:r>
      <w:r w:rsidR="00D06DD9" w:rsidRPr="00F85FC9">
        <w:rPr>
          <w:b/>
          <w:sz w:val="28"/>
          <w:szCs w:val="28"/>
          <w:lang w:val="hr-HR"/>
        </w:rPr>
        <w:t>. GODINE</w:t>
      </w:r>
    </w:p>
    <w:p w:rsidR="00B6443F" w:rsidRPr="00F85FC9" w:rsidRDefault="00B6443F">
      <w:pPr>
        <w:jc w:val="center"/>
        <w:rPr>
          <w:b/>
          <w:sz w:val="28"/>
          <w:szCs w:val="28"/>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Default="00B6443F">
      <w:pPr>
        <w:jc w:val="center"/>
        <w:rPr>
          <w:b/>
          <w:sz w:val="32"/>
          <w:szCs w:val="32"/>
          <w:lang w:val="hr-HR"/>
        </w:rPr>
      </w:pPr>
    </w:p>
    <w:p w:rsidR="00DE40D5" w:rsidRDefault="00DE40D5">
      <w:pPr>
        <w:jc w:val="center"/>
        <w:rPr>
          <w:b/>
          <w:sz w:val="32"/>
          <w:szCs w:val="32"/>
          <w:lang w:val="hr-HR"/>
        </w:rPr>
      </w:pPr>
    </w:p>
    <w:p w:rsidR="00DE40D5" w:rsidRDefault="00DE40D5">
      <w:pPr>
        <w:jc w:val="center"/>
        <w:rPr>
          <w:b/>
          <w:sz w:val="32"/>
          <w:szCs w:val="32"/>
          <w:lang w:val="hr-HR"/>
        </w:rPr>
      </w:pPr>
    </w:p>
    <w:p w:rsidR="00DE40D5" w:rsidRPr="00575863" w:rsidRDefault="00DE40D5">
      <w:pPr>
        <w:jc w:val="center"/>
        <w:rPr>
          <w:b/>
          <w:sz w:val="32"/>
          <w:szCs w:val="32"/>
          <w:lang w:val="hr-HR"/>
        </w:rPr>
      </w:pPr>
    </w:p>
    <w:p w:rsidR="00B6443F" w:rsidRDefault="00B6443F">
      <w:pPr>
        <w:jc w:val="center"/>
        <w:rPr>
          <w:b/>
          <w:sz w:val="32"/>
          <w:szCs w:val="32"/>
          <w:lang w:val="hr-HR"/>
        </w:rPr>
      </w:pPr>
    </w:p>
    <w:p w:rsidR="00DB1C27" w:rsidRDefault="00DB1C27">
      <w:pPr>
        <w:jc w:val="center"/>
        <w:rPr>
          <w:b/>
          <w:sz w:val="32"/>
          <w:szCs w:val="32"/>
          <w:lang w:val="hr-HR"/>
        </w:rPr>
      </w:pPr>
    </w:p>
    <w:p w:rsidR="00B6443F" w:rsidRPr="00DE40D5" w:rsidRDefault="00DE40D5" w:rsidP="00DE40D5">
      <w:pPr>
        <w:rPr>
          <w:b/>
          <w:sz w:val="32"/>
          <w:szCs w:val="32"/>
          <w:lang w:val="hr-HR"/>
        </w:rPr>
      </w:pPr>
      <w:r w:rsidRPr="00DE40D5">
        <w:rPr>
          <w:b/>
          <w:lang w:val="hr-HR"/>
        </w:rPr>
        <w:t>Obrađivač:  Služba za upravu finansija, budžet i trezor</w:t>
      </w:r>
    </w:p>
    <w:p w:rsidR="00B6443F" w:rsidRPr="00DE40D5" w:rsidRDefault="00F4412C" w:rsidP="00DE40D5">
      <w:pPr>
        <w:rPr>
          <w:b/>
          <w:lang w:val="hr-HR"/>
        </w:rPr>
      </w:pPr>
      <w:r w:rsidRPr="00DE40D5">
        <w:rPr>
          <w:b/>
          <w:lang w:val="hr-HR"/>
        </w:rPr>
        <w:t>Zavidovići</w:t>
      </w:r>
      <w:r w:rsidR="00B6443F" w:rsidRPr="00DE40D5">
        <w:rPr>
          <w:b/>
          <w:lang w:val="hr-HR"/>
        </w:rPr>
        <w:t xml:space="preserve">, </w:t>
      </w:r>
      <w:r w:rsidR="00772710" w:rsidRPr="00DE40D5">
        <w:rPr>
          <w:b/>
          <w:lang w:val="hr-HR"/>
        </w:rPr>
        <w:t>juni 20</w:t>
      </w:r>
      <w:r w:rsidR="009C0A18" w:rsidRPr="00DE40D5">
        <w:rPr>
          <w:b/>
          <w:lang w:val="hr-HR"/>
        </w:rPr>
        <w:t>2</w:t>
      </w:r>
      <w:r w:rsidR="00A51F2F">
        <w:rPr>
          <w:b/>
          <w:lang w:val="hr-HR"/>
        </w:rPr>
        <w:t>3</w:t>
      </w:r>
      <w:r w:rsidR="00B6443F" w:rsidRPr="00DE40D5">
        <w:rPr>
          <w:b/>
          <w:lang w:val="hr-HR"/>
        </w:rPr>
        <w:t>. godine</w:t>
      </w:r>
    </w:p>
    <w:p w:rsidR="00B6443F" w:rsidRPr="00DE40D5" w:rsidRDefault="00B6443F">
      <w:pPr>
        <w:jc w:val="center"/>
        <w:rPr>
          <w:b/>
          <w:sz w:val="32"/>
          <w:szCs w:val="32"/>
          <w:lang w:val="hr-HR"/>
        </w:rPr>
      </w:pPr>
    </w:p>
    <w:p w:rsidR="00B6443F" w:rsidRDefault="00A7758F" w:rsidP="00BA61DE">
      <w:pPr>
        <w:pStyle w:val="Heading7"/>
        <w:numPr>
          <w:ilvl w:val="0"/>
          <w:numId w:val="36"/>
        </w:numPr>
        <w:rPr>
          <w:rFonts w:ascii="Times New Roman" w:hAnsi="Times New Roman" w:cs="Times New Roman"/>
        </w:rPr>
      </w:pPr>
      <w:r>
        <w:rPr>
          <w:rFonts w:ascii="Times New Roman" w:hAnsi="Times New Roman" w:cs="Times New Roman"/>
        </w:rPr>
        <w:t xml:space="preserve"> UVOD</w:t>
      </w:r>
    </w:p>
    <w:p w:rsidR="00D21F0A" w:rsidRPr="00D21F0A" w:rsidRDefault="00D21F0A" w:rsidP="00D21F0A">
      <w:pPr>
        <w:rPr>
          <w:lang w:val="hr-HR"/>
        </w:rPr>
      </w:pPr>
    </w:p>
    <w:p w:rsidR="002D2A9A" w:rsidRDefault="002D2A9A" w:rsidP="002D2A9A">
      <w:pPr>
        <w:rPr>
          <w:lang w:val="hr-HR"/>
        </w:rPr>
      </w:pPr>
    </w:p>
    <w:p w:rsidR="002D2A9A" w:rsidRDefault="002D2A9A" w:rsidP="002D2A9A">
      <w:pPr>
        <w:ind w:firstLine="720"/>
        <w:jc w:val="both"/>
        <w:rPr>
          <w:lang w:val="hr-HR"/>
        </w:rPr>
      </w:pPr>
      <w:r>
        <w:rPr>
          <w:lang w:val="hr-HR"/>
        </w:rPr>
        <w:t>U skladu s</w:t>
      </w:r>
      <w:r w:rsidRPr="00575863">
        <w:rPr>
          <w:lang w:val="hr-HR"/>
        </w:rPr>
        <w:t xml:space="preserve">  Zakonom o budžetima u Federaciji Bosne i Hercegovine  („Službene novine FBiH“ broj</w:t>
      </w:r>
      <w:r>
        <w:rPr>
          <w:lang w:val="hr-HR"/>
        </w:rPr>
        <w:t>:</w:t>
      </w:r>
      <w:r w:rsidRPr="00575863">
        <w:rPr>
          <w:lang w:val="hr-HR"/>
        </w:rPr>
        <w:t xml:space="preserve"> </w:t>
      </w:r>
      <w:r>
        <w:t>102/13, 9/14, 13/14, 8/15, 91/15, 102/15, 104/16, 5/18, 11/19 i 25/22</w:t>
      </w:r>
      <w:r w:rsidRPr="00575863">
        <w:rPr>
          <w:lang w:val="hr-HR"/>
        </w:rPr>
        <w:t xml:space="preserve">), </w:t>
      </w:r>
      <w:r>
        <w:rPr>
          <w:lang w:val="hr-HR"/>
        </w:rPr>
        <w:t>sačinjen</w:t>
      </w:r>
      <w:r w:rsidRPr="00575863">
        <w:rPr>
          <w:lang w:val="hr-HR"/>
        </w:rPr>
        <w:t xml:space="preserve"> je Dokument okvirnog budžeta (DOB) </w:t>
      </w:r>
      <w:r>
        <w:rPr>
          <w:lang w:val="hr-HR"/>
        </w:rPr>
        <w:t>za</w:t>
      </w:r>
      <w:r w:rsidR="00D372B7">
        <w:rPr>
          <w:lang w:val="hr-HR"/>
        </w:rPr>
        <w:t xml:space="preserve"> period </w:t>
      </w:r>
      <w:r>
        <w:rPr>
          <w:lang w:val="hr-HR"/>
        </w:rPr>
        <w:t xml:space="preserve"> 2024.-2026. godine</w:t>
      </w:r>
      <w:r w:rsidRPr="00575863">
        <w:rPr>
          <w:lang w:val="hr-HR"/>
        </w:rPr>
        <w:t xml:space="preserve">. </w:t>
      </w:r>
    </w:p>
    <w:p w:rsidR="000829DC" w:rsidRDefault="002D2A9A" w:rsidP="000829DC">
      <w:pPr>
        <w:ind w:firstLine="720"/>
        <w:jc w:val="both"/>
        <w:rPr>
          <w:color w:val="333333"/>
        </w:rPr>
      </w:pPr>
      <w:r w:rsidRPr="002D2A9A">
        <w:rPr>
          <w:color w:val="333333"/>
        </w:rPr>
        <w:t>Izrada DOB-a zasniva se na procjeni privrednog razvoja, razvoja socijalnog sektora, makroekonomskih indikatora i prognozi prihod</w:t>
      </w:r>
      <w:r>
        <w:rPr>
          <w:color w:val="333333"/>
        </w:rPr>
        <w:t xml:space="preserve">a i rashoda, što je utvrđeno u </w:t>
      </w:r>
    </w:p>
    <w:p w:rsidR="007D064A" w:rsidRDefault="007A5BE9" w:rsidP="000829DC">
      <w:pPr>
        <w:rPr>
          <w:color w:val="333333"/>
        </w:rPr>
      </w:pPr>
      <w:r>
        <w:rPr>
          <w:color w:val="333333"/>
        </w:rPr>
        <w:t>ekonomskom politikom</w:t>
      </w:r>
      <w:r w:rsidR="002D2A9A" w:rsidRPr="002D2A9A">
        <w:rPr>
          <w:color w:val="333333"/>
        </w:rPr>
        <w:t xml:space="preserve"> Federacije.</w:t>
      </w:r>
      <w:r w:rsidR="000829DC">
        <w:rPr>
          <w:color w:val="333333"/>
        </w:rPr>
        <w:t xml:space="preserve"> </w:t>
      </w:r>
    </w:p>
    <w:p w:rsidR="002D2A9A" w:rsidRDefault="002D2A9A" w:rsidP="007D064A">
      <w:pPr>
        <w:ind w:firstLine="720"/>
        <w:rPr>
          <w:rFonts w:ascii="Trebuchet MS" w:hAnsi="Trebuchet MS"/>
          <w:color w:val="333333"/>
          <w:sz w:val="18"/>
          <w:szCs w:val="18"/>
        </w:rPr>
      </w:pPr>
      <w:r w:rsidRPr="002D2A9A">
        <w:rPr>
          <w:color w:val="333333"/>
        </w:rPr>
        <w:t>Trogodišnje planiranje budžeta obaveza je za sve korisnike budžetskih sredstava i vanbudžetskih</w:t>
      </w:r>
      <w:r>
        <w:rPr>
          <w:color w:val="333333"/>
        </w:rPr>
        <w:t xml:space="preserve"> </w:t>
      </w:r>
      <w:r w:rsidRPr="002D2A9A">
        <w:rPr>
          <w:color w:val="333333"/>
        </w:rPr>
        <w:t>fondova.</w:t>
      </w:r>
      <w:r w:rsidR="000829DC">
        <w:rPr>
          <w:color w:val="333333"/>
        </w:rPr>
        <w:t xml:space="preserve"> </w:t>
      </w:r>
    </w:p>
    <w:p w:rsidR="00AE50FE" w:rsidRDefault="009E4100" w:rsidP="00AE50FE">
      <w:pPr>
        <w:ind w:firstLine="720"/>
        <w:jc w:val="both"/>
        <w:rPr>
          <w:lang w:val="hr-HR"/>
        </w:rPr>
      </w:pPr>
      <w:r>
        <w:rPr>
          <w:lang w:val="hr-HR"/>
        </w:rPr>
        <w:t>DOB</w:t>
      </w:r>
      <w:r w:rsidR="00AE50FE" w:rsidRPr="00575863">
        <w:rPr>
          <w:lang w:val="hr-HR"/>
        </w:rPr>
        <w:t xml:space="preserve"> </w:t>
      </w:r>
      <w:r w:rsidR="00AE50FE" w:rsidRPr="003B22FE">
        <w:rPr>
          <w:lang w:val="pl-PL"/>
        </w:rPr>
        <w:t>za</w:t>
      </w:r>
      <w:r w:rsidR="00AE50FE" w:rsidRPr="00575863">
        <w:rPr>
          <w:lang w:val="hr-HR"/>
        </w:rPr>
        <w:t xml:space="preserve"> </w:t>
      </w:r>
      <w:r w:rsidR="00AE50FE" w:rsidRPr="003B22FE">
        <w:rPr>
          <w:lang w:val="pl-PL"/>
        </w:rPr>
        <w:t>period</w:t>
      </w:r>
      <w:r w:rsidR="00AE50FE">
        <w:rPr>
          <w:lang w:val="hr-HR"/>
        </w:rPr>
        <w:t xml:space="preserve"> 202</w:t>
      </w:r>
      <w:r w:rsidR="008643BC">
        <w:rPr>
          <w:lang w:val="hr-HR"/>
        </w:rPr>
        <w:t>4</w:t>
      </w:r>
      <w:r w:rsidR="00AE50FE" w:rsidRPr="00575863">
        <w:rPr>
          <w:lang w:val="hr-HR"/>
        </w:rPr>
        <w:t xml:space="preserve">. - </w:t>
      </w:r>
      <w:r w:rsidR="00AE50FE">
        <w:rPr>
          <w:lang w:val="hr-HR"/>
        </w:rPr>
        <w:t>202</w:t>
      </w:r>
      <w:r w:rsidR="008643BC">
        <w:rPr>
          <w:lang w:val="hr-HR"/>
        </w:rPr>
        <w:t>6</w:t>
      </w:r>
      <w:r w:rsidR="00AE50FE" w:rsidRPr="00575863">
        <w:rPr>
          <w:lang w:val="hr-HR"/>
        </w:rPr>
        <w:t xml:space="preserve">. </w:t>
      </w:r>
      <w:r w:rsidR="00AE50FE">
        <w:rPr>
          <w:lang w:val="pl-PL"/>
        </w:rPr>
        <w:t>godine</w:t>
      </w:r>
      <w:r w:rsidR="00AE50FE" w:rsidRPr="00575863">
        <w:rPr>
          <w:lang w:val="hr-HR"/>
        </w:rPr>
        <w:t xml:space="preserve"> </w:t>
      </w:r>
      <w:r>
        <w:rPr>
          <w:lang w:val="pl-PL"/>
        </w:rPr>
        <w:t>utvrđuje</w:t>
      </w:r>
      <w:r w:rsidR="00AE50FE" w:rsidRPr="00575863">
        <w:rPr>
          <w:lang w:val="hr-HR"/>
        </w:rPr>
        <w:t xml:space="preserve"> </w:t>
      </w:r>
      <w:r w:rsidR="00AE50FE" w:rsidRPr="003B22FE">
        <w:rPr>
          <w:lang w:val="pl-PL"/>
        </w:rPr>
        <w:t>fiskalnu</w:t>
      </w:r>
      <w:r w:rsidR="00AE50FE" w:rsidRPr="00575863">
        <w:rPr>
          <w:lang w:val="hr-HR"/>
        </w:rPr>
        <w:t xml:space="preserve"> </w:t>
      </w:r>
      <w:r w:rsidR="00AE50FE" w:rsidRPr="003B22FE">
        <w:rPr>
          <w:lang w:val="pl-PL"/>
        </w:rPr>
        <w:t>strategiju</w:t>
      </w:r>
      <w:r w:rsidR="00AE50FE" w:rsidRPr="00575863">
        <w:rPr>
          <w:lang w:val="hr-HR"/>
        </w:rPr>
        <w:t xml:space="preserve"> </w:t>
      </w:r>
      <w:r w:rsidR="00AE50FE" w:rsidRPr="003B22FE">
        <w:rPr>
          <w:lang w:val="pl-PL"/>
        </w:rPr>
        <w:t>i</w:t>
      </w:r>
      <w:r w:rsidR="00AE50FE" w:rsidRPr="00575863">
        <w:rPr>
          <w:lang w:val="hr-HR"/>
        </w:rPr>
        <w:t xml:space="preserve"> </w:t>
      </w:r>
      <w:r w:rsidR="00AE50FE" w:rsidRPr="003B22FE">
        <w:rPr>
          <w:lang w:val="pl-PL"/>
        </w:rPr>
        <w:t>bud</w:t>
      </w:r>
      <w:r w:rsidR="00AE50FE" w:rsidRPr="00575863">
        <w:rPr>
          <w:lang w:val="hr-HR"/>
        </w:rPr>
        <w:t>ž</w:t>
      </w:r>
      <w:r w:rsidR="00AE50FE" w:rsidRPr="003B22FE">
        <w:rPr>
          <w:lang w:val="pl-PL"/>
        </w:rPr>
        <w:t>etske</w:t>
      </w:r>
      <w:r w:rsidR="00AE50FE" w:rsidRPr="00575863">
        <w:rPr>
          <w:lang w:val="hr-HR"/>
        </w:rPr>
        <w:t xml:space="preserve"> </w:t>
      </w:r>
      <w:r w:rsidR="00AE50FE" w:rsidRPr="003B22FE">
        <w:rPr>
          <w:lang w:val="pl-PL"/>
        </w:rPr>
        <w:t>planove</w:t>
      </w:r>
      <w:r w:rsidR="00AE50FE" w:rsidRPr="00575863">
        <w:rPr>
          <w:lang w:val="hr-HR"/>
        </w:rPr>
        <w:t xml:space="preserve"> </w:t>
      </w:r>
      <w:r w:rsidR="00AE50FE" w:rsidRPr="003B22FE">
        <w:rPr>
          <w:lang w:val="pl-PL"/>
        </w:rPr>
        <w:t>za</w:t>
      </w:r>
      <w:r w:rsidR="00AE50FE" w:rsidRPr="00575863">
        <w:rPr>
          <w:lang w:val="hr-HR"/>
        </w:rPr>
        <w:t xml:space="preserve"> </w:t>
      </w:r>
      <w:r w:rsidR="00AE50FE" w:rsidRPr="003B22FE">
        <w:rPr>
          <w:lang w:val="pl-PL"/>
        </w:rPr>
        <w:t>slijede</w:t>
      </w:r>
      <w:r w:rsidR="00AE50FE" w:rsidRPr="00575863">
        <w:rPr>
          <w:lang w:val="hr-HR"/>
        </w:rPr>
        <w:t>ć</w:t>
      </w:r>
      <w:r w:rsidR="00AE50FE" w:rsidRPr="003B22FE">
        <w:rPr>
          <w:lang w:val="pl-PL"/>
        </w:rPr>
        <w:t>e</w:t>
      </w:r>
      <w:r w:rsidR="00AE50FE" w:rsidRPr="00575863">
        <w:rPr>
          <w:lang w:val="hr-HR"/>
        </w:rPr>
        <w:t xml:space="preserve"> </w:t>
      </w:r>
      <w:r w:rsidR="00AE50FE" w:rsidRPr="003B22FE">
        <w:rPr>
          <w:lang w:val="pl-PL"/>
        </w:rPr>
        <w:t>tri</w:t>
      </w:r>
      <w:r w:rsidR="00AE50FE" w:rsidRPr="00575863">
        <w:rPr>
          <w:lang w:val="hr-HR"/>
        </w:rPr>
        <w:t xml:space="preserve"> </w:t>
      </w:r>
      <w:r w:rsidR="00AE50FE" w:rsidRPr="003B22FE">
        <w:rPr>
          <w:lang w:val="pl-PL"/>
        </w:rPr>
        <w:t>godine</w:t>
      </w:r>
      <w:r w:rsidR="00AE50FE" w:rsidRPr="00575863">
        <w:rPr>
          <w:lang w:val="hr-HR"/>
        </w:rPr>
        <w:t xml:space="preserve"> </w:t>
      </w:r>
      <w:r w:rsidR="00AE50FE" w:rsidRPr="003B22FE">
        <w:rPr>
          <w:lang w:val="pl-PL"/>
        </w:rPr>
        <w:t>i</w:t>
      </w:r>
      <w:r w:rsidR="00AE50FE" w:rsidRPr="00575863">
        <w:rPr>
          <w:lang w:val="hr-HR"/>
        </w:rPr>
        <w:t xml:space="preserve"> </w:t>
      </w:r>
      <w:r w:rsidR="00AE50FE" w:rsidRPr="003B22FE">
        <w:rPr>
          <w:lang w:val="pl-PL"/>
        </w:rPr>
        <w:t>ima</w:t>
      </w:r>
      <w:r w:rsidR="00AE50FE" w:rsidRPr="00575863">
        <w:rPr>
          <w:lang w:val="hr-HR"/>
        </w:rPr>
        <w:t xml:space="preserve"> </w:t>
      </w:r>
      <w:r w:rsidR="00AE50FE" w:rsidRPr="003B22FE">
        <w:rPr>
          <w:lang w:val="pl-PL"/>
        </w:rPr>
        <w:t>za</w:t>
      </w:r>
      <w:r w:rsidR="00AE50FE" w:rsidRPr="00575863">
        <w:rPr>
          <w:lang w:val="hr-HR"/>
        </w:rPr>
        <w:t xml:space="preserve"> </w:t>
      </w:r>
      <w:r w:rsidR="00AE50FE" w:rsidRPr="003B22FE">
        <w:rPr>
          <w:lang w:val="pl-PL"/>
        </w:rPr>
        <w:t>cilj</w:t>
      </w:r>
      <w:r w:rsidR="00AE50FE" w:rsidRPr="00575863">
        <w:rPr>
          <w:lang w:val="hr-HR"/>
        </w:rPr>
        <w:t xml:space="preserve"> </w:t>
      </w:r>
      <w:r w:rsidR="00AE50FE" w:rsidRPr="003B22FE">
        <w:rPr>
          <w:lang w:val="pl-PL"/>
        </w:rPr>
        <w:t>da</w:t>
      </w:r>
      <w:r w:rsidR="00AE50FE" w:rsidRPr="00575863">
        <w:rPr>
          <w:lang w:val="hr-HR"/>
        </w:rPr>
        <w:t xml:space="preserve"> </w:t>
      </w:r>
      <w:r w:rsidR="00AE50FE" w:rsidRPr="003B22FE">
        <w:rPr>
          <w:lang w:val="pl-PL"/>
        </w:rPr>
        <w:t>razvije</w:t>
      </w:r>
      <w:r w:rsidR="00AE50FE" w:rsidRPr="00575863">
        <w:rPr>
          <w:lang w:val="hr-HR"/>
        </w:rPr>
        <w:t xml:space="preserve"> </w:t>
      </w:r>
      <w:r w:rsidR="00AE50FE" w:rsidRPr="003B22FE">
        <w:rPr>
          <w:lang w:val="pl-PL"/>
        </w:rPr>
        <w:t>bolju</w:t>
      </w:r>
      <w:r w:rsidR="00AE50FE" w:rsidRPr="00575863">
        <w:rPr>
          <w:sz w:val="20"/>
          <w:lang w:val="hr-HR"/>
        </w:rPr>
        <w:t xml:space="preserve"> </w:t>
      </w:r>
      <w:r w:rsidR="00AE50FE" w:rsidRPr="003B22FE">
        <w:rPr>
          <w:lang w:val="pl-PL"/>
        </w:rPr>
        <w:t>strate</w:t>
      </w:r>
      <w:r w:rsidR="00AE50FE" w:rsidRPr="00575863">
        <w:rPr>
          <w:lang w:val="hr-HR"/>
        </w:rPr>
        <w:t>š</w:t>
      </w:r>
      <w:r w:rsidR="00AE50FE" w:rsidRPr="003B22FE">
        <w:rPr>
          <w:lang w:val="pl-PL"/>
        </w:rPr>
        <w:t>ku</w:t>
      </w:r>
      <w:r w:rsidR="00AE50FE" w:rsidRPr="00575863">
        <w:rPr>
          <w:lang w:val="hr-HR"/>
        </w:rPr>
        <w:t xml:space="preserve"> </w:t>
      </w:r>
      <w:r w:rsidR="00AE50FE" w:rsidRPr="003B22FE">
        <w:rPr>
          <w:lang w:val="pl-PL"/>
        </w:rPr>
        <w:t>osnovu</w:t>
      </w:r>
      <w:r w:rsidR="00AE50FE" w:rsidRPr="00575863">
        <w:rPr>
          <w:lang w:val="hr-HR"/>
        </w:rPr>
        <w:t xml:space="preserve"> </w:t>
      </w:r>
      <w:r w:rsidR="00AE50FE" w:rsidRPr="003B22FE">
        <w:rPr>
          <w:lang w:val="pl-PL"/>
        </w:rPr>
        <w:t>za</w:t>
      </w:r>
      <w:r w:rsidR="00AE50FE" w:rsidRPr="00575863">
        <w:rPr>
          <w:lang w:val="hr-HR"/>
        </w:rPr>
        <w:t xml:space="preserve"> </w:t>
      </w:r>
      <w:r w:rsidR="00AE50FE" w:rsidRPr="003B22FE">
        <w:rPr>
          <w:lang w:val="pl-PL"/>
        </w:rPr>
        <w:t>pripremu</w:t>
      </w:r>
      <w:r w:rsidR="00AE50FE" w:rsidRPr="00575863">
        <w:rPr>
          <w:lang w:val="hr-HR"/>
        </w:rPr>
        <w:t xml:space="preserve"> </w:t>
      </w:r>
      <w:r w:rsidR="00AE50FE" w:rsidRPr="003B22FE">
        <w:rPr>
          <w:lang w:val="pl-PL"/>
        </w:rPr>
        <w:t>bud</w:t>
      </w:r>
      <w:r w:rsidR="00AE50FE" w:rsidRPr="00575863">
        <w:rPr>
          <w:lang w:val="hr-HR"/>
        </w:rPr>
        <w:t>ž</w:t>
      </w:r>
      <w:r w:rsidR="00AE50FE" w:rsidRPr="003B22FE">
        <w:rPr>
          <w:lang w:val="pl-PL"/>
        </w:rPr>
        <w:t>eta</w:t>
      </w:r>
      <w:r w:rsidR="00AE50FE" w:rsidRPr="00575863">
        <w:rPr>
          <w:lang w:val="hr-HR"/>
        </w:rPr>
        <w:t xml:space="preserve">. </w:t>
      </w:r>
      <w:r w:rsidR="00AE50FE" w:rsidRPr="003B22FE">
        <w:rPr>
          <w:lang w:val="pl-PL"/>
        </w:rPr>
        <w:t>DOB</w:t>
      </w:r>
      <w:r w:rsidR="00AE50FE" w:rsidRPr="00575863">
        <w:rPr>
          <w:lang w:val="hr-HR"/>
        </w:rPr>
        <w:t xml:space="preserve"> </w:t>
      </w:r>
      <w:r w:rsidR="00AE50FE" w:rsidRPr="003B22FE">
        <w:rPr>
          <w:lang w:val="pl-PL"/>
        </w:rPr>
        <w:t>predstavlja</w:t>
      </w:r>
      <w:r w:rsidR="00AE50FE" w:rsidRPr="00575863">
        <w:rPr>
          <w:lang w:val="hr-HR"/>
        </w:rPr>
        <w:t xml:space="preserve"> </w:t>
      </w:r>
      <w:r w:rsidR="00AE50FE" w:rsidRPr="003B22FE">
        <w:rPr>
          <w:lang w:val="pl-PL"/>
        </w:rPr>
        <w:t>preliminarni</w:t>
      </w:r>
      <w:r w:rsidR="00AE50FE" w:rsidRPr="00575863">
        <w:rPr>
          <w:lang w:val="hr-HR"/>
        </w:rPr>
        <w:t xml:space="preserve"> </w:t>
      </w:r>
      <w:r w:rsidR="00AE50FE">
        <w:rPr>
          <w:lang w:val="hr-HR"/>
        </w:rPr>
        <w:t xml:space="preserve">okvirni </w:t>
      </w:r>
      <w:r>
        <w:rPr>
          <w:lang w:val="hr-HR"/>
        </w:rPr>
        <w:t>n</w:t>
      </w:r>
      <w:r w:rsidR="00AE50FE" w:rsidRPr="003B22FE">
        <w:rPr>
          <w:lang w:val="pl-PL"/>
        </w:rPr>
        <w:t>acrt</w:t>
      </w:r>
      <w:r w:rsidR="00AE50FE" w:rsidRPr="00575863">
        <w:rPr>
          <w:lang w:val="hr-HR"/>
        </w:rPr>
        <w:t xml:space="preserve"> </w:t>
      </w:r>
      <w:r w:rsidR="00AE50FE" w:rsidRPr="003B22FE">
        <w:rPr>
          <w:lang w:val="pl-PL"/>
        </w:rPr>
        <w:t>bud</w:t>
      </w:r>
      <w:r w:rsidR="00AE50FE" w:rsidRPr="00575863">
        <w:rPr>
          <w:lang w:val="hr-HR"/>
        </w:rPr>
        <w:t>ž</w:t>
      </w:r>
      <w:r w:rsidR="00AE50FE" w:rsidRPr="003B22FE">
        <w:rPr>
          <w:lang w:val="pl-PL"/>
        </w:rPr>
        <w:t>eta</w:t>
      </w:r>
      <w:r w:rsidR="00AE50FE" w:rsidRPr="00575863">
        <w:rPr>
          <w:lang w:val="hr-HR"/>
        </w:rPr>
        <w:t xml:space="preserve"> </w:t>
      </w:r>
      <w:r w:rsidR="00AE50FE" w:rsidRPr="003B22FE">
        <w:rPr>
          <w:lang w:val="pl-PL"/>
        </w:rPr>
        <w:t>za</w:t>
      </w:r>
      <w:r w:rsidR="00AE50FE" w:rsidRPr="00575863">
        <w:rPr>
          <w:lang w:val="hr-HR"/>
        </w:rPr>
        <w:t xml:space="preserve"> 20</w:t>
      </w:r>
      <w:r w:rsidR="00AE50FE">
        <w:rPr>
          <w:lang w:val="hr-HR"/>
        </w:rPr>
        <w:t>2</w:t>
      </w:r>
      <w:r w:rsidR="00C375A0">
        <w:rPr>
          <w:lang w:val="hr-HR"/>
        </w:rPr>
        <w:t>4</w:t>
      </w:r>
      <w:r w:rsidR="00AE50FE" w:rsidRPr="00575863">
        <w:rPr>
          <w:lang w:val="hr-HR"/>
        </w:rPr>
        <w:t xml:space="preserve">. </w:t>
      </w:r>
      <w:r w:rsidR="00AE50FE" w:rsidRPr="003B22FE">
        <w:rPr>
          <w:lang w:val="pl-PL"/>
        </w:rPr>
        <w:t>godinu</w:t>
      </w:r>
      <w:r w:rsidR="00AE50FE" w:rsidRPr="00575863">
        <w:rPr>
          <w:lang w:val="hr-HR"/>
        </w:rPr>
        <w:t xml:space="preserve">, </w:t>
      </w:r>
      <w:r w:rsidR="00AE50FE" w:rsidRPr="003B22FE">
        <w:rPr>
          <w:lang w:val="pl-PL"/>
        </w:rPr>
        <w:t>te</w:t>
      </w:r>
      <w:r w:rsidR="00AE50FE" w:rsidRPr="00575863">
        <w:rPr>
          <w:lang w:val="hr-HR"/>
        </w:rPr>
        <w:t xml:space="preserve"> </w:t>
      </w:r>
      <w:r w:rsidR="00AE50FE" w:rsidRPr="003B22FE">
        <w:rPr>
          <w:lang w:val="pl-PL"/>
        </w:rPr>
        <w:t>daje</w:t>
      </w:r>
      <w:r w:rsidR="00AE50FE" w:rsidRPr="00575863">
        <w:rPr>
          <w:lang w:val="hr-HR"/>
        </w:rPr>
        <w:t xml:space="preserve"> </w:t>
      </w:r>
      <w:r w:rsidR="00AE50FE">
        <w:rPr>
          <w:lang w:val="hr-HR"/>
        </w:rPr>
        <w:t xml:space="preserve">okvirna </w:t>
      </w:r>
      <w:r w:rsidR="00AE50FE" w:rsidRPr="003B22FE">
        <w:rPr>
          <w:lang w:val="pl-PL"/>
        </w:rPr>
        <w:t>predvi</w:t>
      </w:r>
      <w:r w:rsidR="00AE50FE" w:rsidRPr="00575863">
        <w:rPr>
          <w:lang w:val="hr-HR"/>
        </w:rPr>
        <w:t>đ</w:t>
      </w:r>
      <w:r w:rsidR="00AE50FE" w:rsidRPr="003B22FE">
        <w:rPr>
          <w:lang w:val="pl-PL"/>
        </w:rPr>
        <w:t>anja</w:t>
      </w:r>
      <w:r w:rsidR="00AE50FE" w:rsidRPr="00575863">
        <w:rPr>
          <w:lang w:val="hr-HR"/>
        </w:rPr>
        <w:t xml:space="preserve"> </w:t>
      </w:r>
      <w:r w:rsidR="00AE50FE" w:rsidRPr="003B22FE">
        <w:rPr>
          <w:lang w:val="pl-PL"/>
        </w:rPr>
        <w:t>za</w:t>
      </w:r>
      <w:r w:rsidR="00AE50FE">
        <w:rPr>
          <w:lang w:val="hr-HR"/>
        </w:rPr>
        <w:t xml:space="preserve"> 2024. - 202</w:t>
      </w:r>
      <w:r w:rsidR="00C375A0">
        <w:rPr>
          <w:lang w:val="hr-HR"/>
        </w:rPr>
        <w:t>6</w:t>
      </w:r>
      <w:r w:rsidR="00AE50FE" w:rsidRPr="00575863">
        <w:rPr>
          <w:lang w:val="hr-HR"/>
        </w:rPr>
        <w:t xml:space="preserve">. </w:t>
      </w:r>
      <w:r w:rsidR="00AE50FE">
        <w:rPr>
          <w:lang w:val="pl-PL"/>
        </w:rPr>
        <w:t>godinu</w:t>
      </w:r>
      <w:r w:rsidR="00AE50FE" w:rsidRPr="00575863">
        <w:rPr>
          <w:lang w:val="hr-HR"/>
        </w:rPr>
        <w:t xml:space="preserve">. </w:t>
      </w:r>
    </w:p>
    <w:p w:rsidR="00AE50FE" w:rsidRPr="006126FB" w:rsidRDefault="00AE50FE" w:rsidP="00AE50FE">
      <w:pPr>
        <w:autoSpaceDE w:val="0"/>
        <w:autoSpaceDN w:val="0"/>
        <w:adjustRightInd w:val="0"/>
        <w:ind w:firstLine="720"/>
        <w:jc w:val="both"/>
        <w:rPr>
          <w:rFonts w:eastAsia="Calibri" w:cs="Arial"/>
        </w:rPr>
      </w:pPr>
      <w:r w:rsidRPr="006126FB">
        <w:rPr>
          <w:rFonts w:eastAsia="Calibri" w:cs="Arial"/>
        </w:rPr>
        <w:t xml:space="preserve">Ciljevi </w:t>
      </w:r>
      <w:r w:rsidR="009E4100">
        <w:rPr>
          <w:rFonts w:eastAsia="Calibri" w:cs="Arial"/>
        </w:rPr>
        <w:t>DOB-a</w:t>
      </w:r>
      <w:r w:rsidRPr="006126FB">
        <w:rPr>
          <w:rFonts w:eastAsia="Calibri" w:cs="Arial"/>
        </w:rPr>
        <w:t xml:space="preserve"> su:</w:t>
      </w:r>
    </w:p>
    <w:p w:rsidR="00AE50FE" w:rsidRPr="006126FB" w:rsidRDefault="001F2041" w:rsidP="00AE50FE">
      <w:pPr>
        <w:autoSpaceDE w:val="0"/>
        <w:autoSpaceDN w:val="0"/>
        <w:adjustRightInd w:val="0"/>
        <w:ind w:left="1134"/>
        <w:jc w:val="both"/>
        <w:rPr>
          <w:rFonts w:eastAsia="Calibri" w:cs="Arial"/>
        </w:rPr>
      </w:pPr>
      <w:r>
        <w:rPr>
          <w:rFonts w:eastAsia="Calibri" w:cs="Arial"/>
        </w:rPr>
        <w:t>-</w:t>
      </w:r>
      <w:r w:rsidR="00AE50FE" w:rsidRPr="006126FB">
        <w:rPr>
          <w:rFonts w:eastAsia="Calibri" w:cs="Arial"/>
        </w:rPr>
        <w:t xml:space="preserve"> racionalnija javna potrošnja</w:t>
      </w:r>
      <w:r w:rsidR="00C7666A">
        <w:rPr>
          <w:rFonts w:eastAsia="Calibri" w:cs="Arial"/>
        </w:rPr>
        <w:t>,</w:t>
      </w:r>
    </w:p>
    <w:p w:rsidR="00AE50FE" w:rsidRPr="006126FB" w:rsidRDefault="001F2041" w:rsidP="00AE50FE">
      <w:pPr>
        <w:autoSpaceDE w:val="0"/>
        <w:autoSpaceDN w:val="0"/>
        <w:adjustRightInd w:val="0"/>
        <w:ind w:left="1134"/>
        <w:jc w:val="both"/>
        <w:rPr>
          <w:rFonts w:eastAsia="Calibri" w:cs="Arial"/>
        </w:rPr>
      </w:pPr>
      <w:r>
        <w:rPr>
          <w:rFonts w:eastAsia="Calibri" w:cs="Arial"/>
        </w:rPr>
        <w:t>-</w:t>
      </w:r>
      <w:r w:rsidR="00AE50FE" w:rsidRPr="006126FB">
        <w:rPr>
          <w:rFonts w:eastAsia="Calibri" w:cs="Arial"/>
        </w:rPr>
        <w:t xml:space="preserve"> uspješnije određivanje prioriteta pri alokaciji javnih resursa, i</w:t>
      </w:r>
    </w:p>
    <w:p w:rsidR="00AE50FE" w:rsidRPr="004E680D" w:rsidRDefault="001F2041" w:rsidP="00AE50FE">
      <w:pPr>
        <w:autoSpaceDE w:val="0"/>
        <w:autoSpaceDN w:val="0"/>
        <w:adjustRightInd w:val="0"/>
        <w:ind w:left="1134"/>
        <w:jc w:val="both"/>
        <w:rPr>
          <w:rFonts w:eastAsia="Calibri" w:cs="Arial"/>
        </w:rPr>
      </w:pPr>
      <w:r>
        <w:rPr>
          <w:rFonts w:eastAsia="Calibri" w:cs="Arial"/>
        </w:rPr>
        <w:t>-</w:t>
      </w:r>
      <w:r w:rsidR="00AE50FE" w:rsidRPr="006126FB">
        <w:rPr>
          <w:rFonts w:eastAsia="Calibri" w:cs="Arial"/>
        </w:rPr>
        <w:t xml:space="preserve"> efikasnije korištenje raspoloživih resursa.</w:t>
      </w:r>
    </w:p>
    <w:p w:rsidR="00AE50FE" w:rsidRDefault="00AE50FE" w:rsidP="00AE50FE">
      <w:pPr>
        <w:ind w:firstLine="720"/>
        <w:jc w:val="both"/>
        <w:rPr>
          <w:lang w:val="hr-HR"/>
        </w:rPr>
      </w:pPr>
      <w:r w:rsidRPr="00575863">
        <w:t>Jo</w:t>
      </w:r>
      <w:r w:rsidRPr="00575863">
        <w:rPr>
          <w:lang w:val="hr-HR"/>
        </w:rPr>
        <w:t xml:space="preserve">š </w:t>
      </w:r>
      <w:r w:rsidRPr="00575863">
        <w:t>jedan</w:t>
      </w:r>
      <w:r w:rsidRPr="00575863">
        <w:rPr>
          <w:lang w:val="hr-HR"/>
        </w:rPr>
        <w:t xml:space="preserve"> </w:t>
      </w:r>
      <w:r w:rsidRPr="00575863">
        <w:t>bitan</w:t>
      </w:r>
      <w:r w:rsidRPr="00575863">
        <w:rPr>
          <w:lang w:val="hr-HR"/>
        </w:rPr>
        <w:t xml:space="preserve"> </w:t>
      </w:r>
      <w:r w:rsidRPr="00575863">
        <w:t>cilj</w:t>
      </w:r>
      <w:r w:rsidRPr="00575863">
        <w:rPr>
          <w:lang w:val="hr-HR"/>
        </w:rPr>
        <w:t xml:space="preserve"> </w:t>
      </w:r>
      <w:r w:rsidR="009E4100">
        <w:t>DOB-a</w:t>
      </w:r>
      <w:r w:rsidRPr="0067053B">
        <w:rPr>
          <w:lang w:val="hr-HR"/>
        </w:rPr>
        <w:t>,</w:t>
      </w:r>
      <w:r w:rsidRPr="00575863">
        <w:rPr>
          <w:lang w:val="hr-HR"/>
        </w:rPr>
        <w:t xml:space="preserve"> </w:t>
      </w:r>
      <w:r w:rsidRPr="00575863">
        <w:t>je</w:t>
      </w:r>
      <w:r w:rsidRPr="00575863">
        <w:rPr>
          <w:lang w:val="hr-HR"/>
        </w:rPr>
        <w:t xml:space="preserve"> </w:t>
      </w:r>
      <w:r w:rsidRPr="00575863">
        <w:t>da</w:t>
      </w:r>
      <w:r w:rsidRPr="00575863">
        <w:rPr>
          <w:lang w:val="hr-HR"/>
        </w:rPr>
        <w:t xml:space="preserve"> </w:t>
      </w:r>
      <w:r w:rsidRPr="00575863">
        <w:t>osigura</w:t>
      </w:r>
      <w:r w:rsidRPr="00575863">
        <w:rPr>
          <w:lang w:val="hr-HR"/>
        </w:rPr>
        <w:t xml:space="preserve"> </w:t>
      </w:r>
      <w:r w:rsidRPr="00575863">
        <w:t>sveobuhvatan</w:t>
      </w:r>
      <w:r w:rsidRPr="00575863">
        <w:rPr>
          <w:lang w:val="hr-HR"/>
        </w:rPr>
        <w:t xml:space="preserve"> </w:t>
      </w:r>
      <w:r w:rsidRPr="00575863">
        <w:t>i</w:t>
      </w:r>
      <w:r w:rsidRPr="00575863">
        <w:rPr>
          <w:lang w:val="hr-HR"/>
        </w:rPr>
        <w:t xml:space="preserve"> </w:t>
      </w:r>
      <w:r w:rsidRPr="00575863">
        <w:t>konsolidiran</w:t>
      </w:r>
      <w:r w:rsidRPr="00575863">
        <w:rPr>
          <w:lang w:val="hr-HR"/>
        </w:rPr>
        <w:t xml:space="preserve"> </w:t>
      </w:r>
      <w:r w:rsidRPr="00575863">
        <w:t>okvir</w:t>
      </w:r>
      <w:r w:rsidRPr="00575863">
        <w:rPr>
          <w:lang w:val="hr-HR"/>
        </w:rPr>
        <w:t xml:space="preserve"> </w:t>
      </w:r>
      <w:r w:rsidRPr="00575863">
        <w:t>planiranja</w:t>
      </w:r>
      <w:r w:rsidRPr="00575863">
        <w:rPr>
          <w:lang w:val="hr-HR"/>
        </w:rPr>
        <w:t xml:space="preserve"> </w:t>
      </w:r>
      <w:r w:rsidRPr="00575863">
        <w:t>rashoda</w:t>
      </w:r>
      <w:r w:rsidRPr="00575863">
        <w:rPr>
          <w:lang w:val="hr-HR"/>
        </w:rPr>
        <w:t xml:space="preserve"> </w:t>
      </w:r>
      <w:r w:rsidRPr="00575863">
        <w:t>na</w:t>
      </w:r>
      <w:r w:rsidRPr="00575863">
        <w:rPr>
          <w:lang w:val="hr-HR"/>
        </w:rPr>
        <w:t xml:space="preserve"> </w:t>
      </w:r>
      <w:r w:rsidRPr="00575863">
        <w:t>nivou</w:t>
      </w:r>
      <w:r w:rsidRPr="00575863">
        <w:rPr>
          <w:lang w:val="hr-HR"/>
        </w:rPr>
        <w:t xml:space="preserve"> </w:t>
      </w:r>
      <w:r>
        <w:t>k</w:t>
      </w:r>
      <w:r w:rsidRPr="00575863">
        <w:t>antona</w:t>
      </w:r>
      <w:r w:rsidRPr="00575863">
        <w:rPr>
          <w:lang w:val="hr-HR"/>
        </w:rPr>
        <w:t xml:space="preserve">, </w:t>
      </w:r>
      <w:r w:rsidRPr="00575863">
        <w:t>objedinjuju</w:t>
      </w:r>
      <w:r w:rsidRPr="00575863">
        <w:rPr>
          <w:lang w:val="hr-HR"/>
        </w:rPr>
        <w:t>ć</w:t>
      </w:r>
      <w:r w:rsidRPr="00575863">
        <w:t>i</w:t>
      </w:r>
      <w:r w:rsidRPr="00575863">
        <w:rPr>
          <w:lang w:val="hr-HR"/>
        </w:rPr>
        <w:t xml:space="preserve"> </w:t>
      </w:r>
      <w:r w:rsidRPr="00575863">
        <w:t>podatke</w:t>
      </w:r>
      <w:r w:rsidRPr="00575863">
        <w:rPr>
          <w:lang w:val="hr-HR"/>
        </w:rPr>
        <w:t xml:space="preserve"> </w:t>
      </w:r>
      <w:r w:rsidRPr="00575863">
        <w:t>o</w:t>
      </w:r>
      <w:r w:rsidRPr="00575863">
        <w:rPr>
          <w:lang w:val="hr-HR"/>
        </w:rPr>
        <w:t xml:space="preserve"> </w:t>
      </w:r>
      <w:r w:rsidRPr="00575863">
        <w:t>fiskalnom</w:t>
      </w:r>
      <w:r w:rsidRPr="00575863">
        <w:rPr>
          <w:lang w:val="hr-HR"/>
        </w:rPr>
        <w:t xml:space="preserve"> </w:t>
      </w:r>
      <w:r w:rsidRPr="00575863">
        <w:t>stanju</w:t>
      </w:r>
      <w:r w:rsidRPr="00575863">
        <w:rPr>
          <w:lang w:val="hr-HR"/>
        </w:rPr>
        <w:t xml:space="preserve"> </w:t>
      </w:r>
      <w:r w:rsidR="004E5685">
        <w:rPr>
          <w:lang w:val="hr-HR"/>
        </w:rPr>
        <w:t>k</w:t>
      </w:r>
      <w:r w:rsidRPr="00575863">
        <w:t>antona</w:t>
      </w:r>
      <w:r w:rsidRPr="00575863">
        <w:rPr>
          <w:lang w:val="hr-HR"/>
        </w:rPr>
        <w:t xml:space="preserve">, </w:t>
      </w:r>
      <w:r>
        <w:rPr>
          <w:lang w:val="hr-HR"/>
        </w:rPr>
        <w:t xml:space="preserve">gradova, </w:t>
      </w:r>
      <w:r w:rsidRPr="00575863">
        <w:rPr>
          <w:lang w:val="hr-HR"/>
        </w:rPr>
        <w:t>o</w:t>
      </w:r>
      <w:r w:rsidRPr="00575863">
        <w:t>p</w:t>
      </w:r>
      <w:r w:rsidRPr="00575863">
        <w:rPr>
          <w:lang w:val="hr-HR"/>
        </w:rPr>
        <w:t>ć</w:t>
      </w:r>
      <w:r w:rsidRPr="00575863">
        <w:t>ina</w:t>
      </w:r>
      <w:r w:rsidRPr="00575863">
        <w:rPr>
          <w:lang w:val="hr-HR"/>
        </w:rPr>
        <w:t xml:space="preserve"> </w:t>
      </w:r>
      <w:r w:rsidRPr="00575863">
        <w:t>i</w:t>
      </w:r>
      <w:r w:rsidRPr="00575863">
        <w:rPr>
          <w:lang w:val="hr-HR"/>
        </w:rPr>
        <w:t xml:space="preserve"> </w:t>
      </w:r>
      <w:r w:rsidRPr="00575863">
        <w:t>vanbud</w:t>
      </w:r>
      <w:r w:rsidRPr="00575863">
        <w:rPr>
          <w:lang w:val="hr-HR"/>
        </w:rPr>
        <w:t>ž</w:t>
      </w:r>
      <w:r w:rsidRPr="00575863">
        <w:t>etskih</w:t>
      </w:r>
      <w:r w:rsidRPr="00575863">
        <w:rPr>
          <w:lang w:val="hr-HR"/>
        </w:rPr>
        <w:t xml:space="preserve"> </w:t>
      </w:r>
      <w:r w:rsidRPr="00575863">
        <w:t>fondova</w:t>
      </w:r>
      <w:r w:rsidRPr="00575863">
        <w:rPr>
          <w:lang w:val="hr-HR"/>
        </w:rPr>
        <w:t>.</w:t>
      </w:r>
    </w:p>
    <w:p w:rsidR="00AE50FE" w:rsidRDefault="00AE50FE" w:rsidP="00AE50FE">
      <w:pPr>
        <w:jc w:val="both"/>
        <w:rPr>
          <w:lang w:val="hr-HR"/>
        </w:rPr>
      </w:pPr>
    </w:p>
    <w:p w:rsidR="00B6443F" w:rsidRDefault="00B6443F" w:rsidP="00820596">
      <w:pPr>
        <w:jc w:val="both"/>
        <w:rPr>
          <w:lang w:val="hr-HR"/>
        </w:rPr>
      </w:pPr>
    </w:p>
    <w:p w:rsidR="00D21F0A" w:rsidRPr="00575863" w:rsidRDefault="00D21F0A" w:rsidP="00820596">
      <w:pPr>
        <w:jc w:val="both"/>
        <w:rPr>
          <w:lang w:val="hr-HR"/>
        </w:rPr>
      </w:pPr>
    </w:p>
    <w:p w:rsidR="00B6443F" w:rsidRPr="009E4100" w:rsidRDefault="00B6443F" w:rsidP="009E4100">
      <w:pPr>
        <w:pStyle w:val="ListParagraph"/>
        <w:numPr>
          <w:ilvl w:val="0"/>
          <w:numId w:val="36"/>
        </w:numPr>
        <w:jc w:val="both"/>
        <w:rPr>
          <w:rFonts w:ascii="Times New Roman" w:hAnsi="Times New Roman"/>
          <w:b/>
          <w:lang w:val="hr-HR"/>
        </w:rPr>
      </w:pPr>
      <w:r w:rsidRPr="009E4100">
        <w:rPr>
          <w:rFonts w:ascii="Times New Roman" w:hAnsi="Times New Roman"/>
          <w:b/>
          <w:lang w:val="hr-HR"/>
        </w:rPr>
        <w:t xml:space="preserve">SREDNJOROČNE MAKROEKONOMSKE PRETPOSTAVKE I PROGNOZE </w:t>
      </w:r>
    </w:p>
    <w:p w:rsidR="009E4100" w:rsidRDefault="009E4100" w:rsidP="009E4100">
      <w:pPr>
        <w:ind w:firstLine="709"/>
        <w:jc w:val="both"/>
      </w:pPr>
      <w:bookmarkStart w:id="0" w:name="_Toc129414337"/>
      <w:bookmarkStart w:id="1" w:name="_Toc190228391"/>
      <w:bookmarkStart w:id="2" w:name="_Toc191048980"/>
      <w:bookmarkStart w:id="3" w:name="_Toc197340778"/>
      <w:r w:rsidRPr="002F6403">
        <w:t>Nakon pada globalne ekonomske aktivnosti kao posljedice pandemije COVID 19, 2021. godina ostati će zapamćena kao godina oporavka, ali i godina rasta političkih napetosti između Rusije i Zapada. Velika politička i siguronosna kriza na istoku Europe eskalirala je u sukob između Rusije i Ukrajine, uzrokujući disbalans na  globalnom tržištu energenata.Već u 2021. godini dolazi do narušavanja ravnoteže na tržištu energenata, prekomjerni zahtjevi na strani tražnje kojoj ponuda nije bila u stanju odgovoriti, odrazili su  se na rast opće razine cijena. No, otvaranjem ratnog sukoba i uvođenjem sankcija ruskom energetskom sektoru energetski problemi poprimaju teži karakter. Obzirom da je Rusija drugi najveći izvoznik nafte u svijetu, sankcije na izvoz u EU dodatno su smanjile ponudu nafte i utjecale na rast cijena. Budući da se naftom i naftnim derivatima trguje u američkim dolarima, vrijednost eura u odnosu na američki dolar je oslabila, stoga je i deprecijacija kursa eura dodatno je doprinijela inflaciji. U nastavku dat je grafički prikaz kretanja cijena Brent sirove nafte po barelu u eurozoni za period 2018. -  2022. g. po kvartalima.</w:t>
      </w:r>
      <w:r w:rsidRPr="002F6403">
        <w:rPr>
          <w:rStyle w:val="FootnoteReference"/>
        </w:rPr>
        <w:footnoteReference w:id="2"/>
      </w:r>
    </w:p>
    <w:p w:rsidR="009E4100" w:rsidRDefault="009E4100" w:rsidP="009E4100">
      <w:pPr>
        <w:ind w:firstLine="709"/>
        <w:jc w:val="both"/>
      </w:pPr>
    </w:p>
    <w:p w:rsidR="00D21F0A" w:rsidRDefault="00D21F0A" w:rsidP="009E4100">
      <w:pPr>
        <w:ind w:firstLine="709"/>
        <w:jc w:val="both"/>
      </w:pPr>
    </w:p>
    <w:p w:rsidR="00D21F0A" w:rsidRDefault="00D21F0A" w:rsidP="009E4100">
      <w:pPr>
        <w:jc w:val="center"/>
        <w:rPr>
          <w:b/>
        </w:rPr>
      </w:pPr>
    </w:p>
    <w:p w:rsidR="009E4100" w:rsidRPr="002F6403" w:rsidRDefault="009E4100" w:rsidP="009E4100">
      <w:pPr>
        <w:jc w:val="center"/>
      </w:pPr>
      <w:r w:rsidRPr="002F6403">
        <w:rPr>
          <w:b/>
        </w:rPr>
        <w:lastRenderedPageBreak/>
        <w:t>Grafikon 1:</w:t>
      </w:r>
      <w:r w:rsidRPr="002F6403">
        <w:t xml:space="preserve"> Kretanja cijena Brent sirove nafte po barelu u euro zoni </w:t>
      </w:r>
    </w:p>
    <w:p w:rsidR="009E4100" w:rsidRDefault="009E4100" w:rsidP="009E4100">
      <w:pPr>
        <w:jc w:val="center"/>
      </w:pPr>
      <w:r w:rsidRPr="002F6403">
        <w:t>za period 2018. -  2022. g. po kvartalima</w:t>
      </w:r>
      <w:r w:rsidRPr="002F6403">
        <w:rPr>
          <w:rStyle w:val="FootnoteReference"/>
        </w:rPr>
        <w:footnoteReference w:id="3"/>
      </w:r>
    </w:p>
    <w:p w:rsidR="00D21F0A" w:rsidRPr="002F6403" w:rsidRDefault="00D21F0A" w:rsidP="009E4100">
      <w:pPr>
        <w:jc w:val="center"/>
      </w:pPr>
    </w:p>
    <w:p w:rsidR="009E4100" w:rsidRDefault="009E4100" w:rsidP="009E4100">
      <w:pPr>
        <w:jc w:val="center"/>
      </w:pPr>
      <w:r>
        <w:rPr>
          <w:noProof/>
          <w:lang w:val="hr-HR" w:eastAsia="hr-HR"/>
        </w:rPr>
        <w:drawing>
          <wp:inline distT="0" distB="0" distL="0" distR="0">
            <wp:extent cx="4924044" cy="2203323"/>
            <wp:effectExtent l="12192" t="6096" r="7239" b="381"/>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1F0A" w:rsidRPr="002F6403" w:rsidRDefault="00D21F0A" w:rsidP="009E4100">
      <w:pPr>
        <w:jc w:val="center"/>
      </w:pPr>
    </w:p>
    <w:p w:rsidR="009E4100" w:rsidRPr="002F6403" w:rsidRDefault="009E4100" w:rsidP="009E4100">
      <w:pPr>
        <w:jc w:val="center"/>
        <w:rPr>
          <w:sz w:val="20"/>
          <w:szCs w:val="20"/>
        </w:rPr>
      </w:pPr>
      <w:r w:rsidRPr="002F6403">
        <w:rPr>
          <w:sz w:val="20"/>
          <w:szCs w:val="20"/>
        </w:rPr>
        <w:t>Izvor: European Central Bank; Obrada FMF</w:t>
      </w:r>
    </w:p>
    <w:p w:rsidR="009E4100" w:rsidRPr="002F6403" w:rsidRDefault="009E4100" w:rsidP="009E4100">
      <w:pPr>
        <w:jc w:val="center"/>
      </w:pPr>
    </w:p>
    <w:p w:rsidR="009E4100" w:rsidRPr="002F6403" w:rsidRDefault="009E4100" w:rsidP="009E4100">
      <w:pPr>
        <w:ind w:firstLine="709"/>
        <w:jc w:val="both"/>
      </w:pPr>
      <w:r w:rsidRPr="002F6403">
        <w:t>Prema prvim procjenama Agencije za statistiku Bosne i Hercegovine</w:t>
      </w:r>
      <w:r w:rsidRPr="002F6403">
        <w:rPr>
          <w:rStyle w:val="FootnoteReference"/>
        </w:rPr>
        <w:footnoteReference w:id="4"/>
      </w:r>
      <w:r w:rsidRPr="002F6403">
        <w:t xml:space="preserve">, Bosna i Hercegovina je u 2022. godini ostvarila realni BDP prema rashodovnom pristupu u visini od 37,5 mlrd. KM, te je u odnosu na prethodnu godinu ostvarila  realni rast od 4%. Ukoliko promatramo strukturu BDP – a prema rashodnovnom pristupu primjetan je pozitivan trend rasta potrošnje stanovništva i bruto investicija (4,9% i 12,7% u odnosu na prethodnu godinu) , što je  posljedica rasta zaposlenosti i plata. No, rast domaće potražnje uvijek rezultira jačom uvoznom komponentom što uz nedovoljan rast izvoza nema pozitivan efekat na rast BDP, budući da je uvoz roba i usluga odbitna stavka u strukturi BDP –a  i negativno doprinosi rastu. </w:t>
      </w:r>
    </w:p>
    <w:p w:rsidR="009E4100" w:rsidRDefault="009E4100" w:rsidP="009E4100">
      <w:pPr>
        <w:jc w:val="both"/>
      </w:pPr>
      <w:r w:rsidRPr="002F6403">
        <w:t>Potrošačke cijeneu 2022. godini u BiH bilježe skokoviti rast, a inflacija doseže svoj maksimum na godišnjem nivou u mjesecu oktobru sa stopom od 17,4%, nakon čega usporava. Prosječna godišnja inflacija na nivou BiH u 2022. g. iznosila je 14%. Najviši rast cijena na godišnjem nivou bilježe odjeljci: Prijevoz 25,4%, te Hrana i bezalkoholna pića 21,4%.</w:t>
      </w:r>
      <w:r w:rsidRPr="002F6403">
        <w:rPr>
          <w:rStyle w:val="FootnoteReference"/>
        </w:rPr>
        <w:footnoteReference w:id="5"/>
      </w:r>
      <w:r w:rsidRPr="002F6403">
        <w:t>Grafičkim prikazom u nastavku predstavljen je trend kretanja prosječnih stopa inflacije u BiH u za period 2018. – 2022. g.</w:t>
      </w:r>
    </w:p>
    <w:p w:rsidR="009E4100" w:rsidRDefault="009E4100" w:rsidP="009E4100">
      <w:pPr>
        <w:jc w:val="both"/>
      </w:pPr>
    </w:p>
    <w:p w:rsidR="009E4100" w:rsidRDefault="009E4100" w:rsidP="009E4100">
      <w:pPr>
        <w:jc w:val="both"/>
      </w:pPr>
    </w:p>
    <w:p w:rsidR="009E4100" w:rsidRDefault="009E4100" w:rsidP="009E4100">
      <w:pPr>
        <w:jc w:val="both"/>
      </w:pPr>
    </w:p>
    <w:p w:rsidR="009E4100" w:rsidRDefault="009E4100" w:rsidP="009E4100">
      <w:pPr>
        <w:jc w:val="both"/>
      </w:pPr>
    </w:p>
    <w:p w:rsidR="009E4100" w:rsidRDefault="009E4100" w:rsidP="009E4100">
      <w:pPr>
        <w:jc w:val="both"/>
      </w:pPr>
    </w:p>
    <w:p w:rsidR="00D21F0A" w:rsidRDefault="00D21F0A" w:rsidP="009E4100">
      <w:pPr>
        <w:jc w:val="both"/>
      </w:pPr>
    </w:p>
    <w:p w:rsidR="00D21F0A" w:rsidRDefault="00D21F0A" w:rsidP="009E4100">
      <w:pPr>
        <w:jc w:val="both"/>
      </w:pPr>
    </w:p>
    <w:p w:rsidR="009E4100" w:rsidRDefault="009E4100" w:rsidP="009E4100">
      <w:pPr>
        <w:jc w:val="both"/>
      </w:pPr>
    </w:p>
    <w:p w:rsidR="009E4100" w:rsidRPr="002F6403" w:rsidRDefault="009E4100" w:rsidP="009E4100">
      <w:pPr>
        <w:jc w:val="both"/>
      </w:pPr>
    </w:p>
    <w:p w:rsidR="009E4100" w:rsidRPr="002F6403" w:rsidRDefault="009E4100" w:rsidP="009E4100">
      <w:pPr>
        <w:jc w:val="center"/>
      </w:pPr>
      <w:r w:rsidRPr="002F6403">
        <w:rPr>
          <w:b/>
        </w:rPr>
        <w:t xml:space="preserve">Grafikon 3: </w:t>
      </w:r>
      <w:r w:rsidRPr="002F6403">
        <w:t>Prosječna godišnja inflacija za period 2018. – 2022.g.</w:t>
      </w:r>
    </w:p>
    <w:p w:rsidR="009E4100" w:rsidRPr="002F6403" w:rsidRDefault="009E4100" w:rsidP="009E4100">
      <w:pPr>
        <w:jc w:val="center"/>
      </w:pPr>
      <w:r>
        <w:rPr>
          <w:noProof/>
          <w:lang w:val="hr-HR" w:eastAsia="hr-HR"/>
        </w:rPr>
        <w:lastRenderedPageBreak/>
        <w:drawing>
          <wp:inline distT="0" distB="0" distL="0" distR="0">
            <wp:extent cx="3923538" cy="2422017"/>
            <wp:effectExtent l="12192" t="6096" r="7620" b="762"/>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4100" w:rsidRPr="002F6403" w:rsidRDefault="009E4100" w:rsidP="009E4100">
      <w:pPr>
        <w:jc w:val="center"/>
        <w:rPr>
          <w:sz w:val="20"/>
          <w:szCs w:val="20"/>
        </w:rPr>
      </w:pPr>
      <w:r w:rsidRPr="002F6403">
        <w:rPr>
          <w:sz w:val="20"/>
          <w:szCs w:val="20"/>
        </w:rPr>
        <w:t>Izvor BHAS; Obrada FMF</w:t>
      </w:r>
    </w:p>
    <w:p w:rsidR="009E4100" w:rsidRPr="002F6403" w:rsidRDefault="009E4100" w:rsidP="009E4100"/>
    <w:p w:rsidR="009E4100" w:rsidRPr="002F6403" w:rsidRDefault="009E4100" w:rsidP="009E4100"/>
    <w:p w:rsidR="009E4100" w:rsidRDefault="009E4100" w:rsidP="009E4100">
      <w:pPr>
        <w:ind w:firstLine="709"/>
        <w:jc w:val="both"/>
      </w:pPr>
      <w:r w:rsidRPr="002F6403">
        <w:t>U nastavku teksta, tabelarno i grafički predstavljeni su glavni makroekonomski parametri Federacije BiH za period 2019. – 2022. g. te projekcije za tekuću godinu i srednjoročno razdoblje.</w:t>
      </w:r>
    </w:p>
    <w:p w:rsidR="009E4100" w:rsidRPr="002F6403" w:rsidRDefault="009E4100" w:rsidP="009E4100">
      <w:pPr>
        <w:ind w:firstLine="709"/>
        <w:jc w:val="both"/>
      </w:pPr>
    </w:p>
    <w:p w:rsidR="009E4100" w:rsidRPr="002F6403" w:rsidRDefault="009E4100" w:rsidP="009E4100">
      <w:pPr>
        <w:jc w:val="center"/>
      </w:pPr>
      <w:r w:rsidRPr="002F6403">
        <w:rPr>
          <w:lang w:val="hr-BA"/>
        </w:rPr>
        <w:t>Tabela 1. Makroekonomski pokazatelji Federacije BiH 2019.-2022. g. (u %)</w:t>
      </w:r>
    </w:p>
    <w:tbl>
      <w:tblPr>
        <w:tblW w:w="9332" w:type="dxa"/>
        <w:tblLook w:val="04A0"/>
      </w:tblPr>
      <w:tblGrid>
        <w:gridCol w:w="2884"/>
        <w:gridCol w:w="1612"/>
        <w:gridCol w:w="1612"/>
        <w:gridCol w:w="1612"/>
        <w:gridCol w:w="1612"/>
      </w:tblGrid>
      <w:tr w:rsidR="009E4100" w:rsidRPr="002F6403" w:rsidTr="00B67F32">
        <w:trPr>
          <w:trHeight w:val="522"/>
        </w:trPr>
        <w:tc>
          <w:tcPr>
            <w:tcW w:w="2884" w:type="dxa"/>
          </w:tcPr>
          <w:p w:rsidR="009E4100" w:rsidRPr="002F6403" w:rsidRDefault="009E4100" w:rsidP="00B67F32">
            <w:pPr>
              <w:spacing w:before="120" w:after="60"/>
            </w:pPr>
            <w:r w:rsidRPr="002F6403">
              <w:t>Makroekonomski indikator</w:t>
            </w:r>
          </w:p>
        </w:tc>
        <w:tc>
          <w:tcPr>
            <w:tcW w:w="1612" w:type="dxa"/>
          </w:tcPr>
          <w:p w:rsidR="009E4100" w:rsidRPr="002F6403" w:rsidRDefault="009E4100" w:rsidP="00B67F32">
            <w:pPr>
              <w:spacing w:before="120" w:after="60"/>
              <w:jc w:val="center"/>
            </w:pPr>
            <w:r w:rsidRPr="002F6403">
              <w:t>2019</w:t>
            </w:r>
          </w:p>
        </w:tc>
        <w:tc>
          <w:tcPr>
            <w:tcW w:w="1612" w:type="dxa"/>
          </w:tcPr>
          <w:p w:rsidR="009E4100" w:rsidRPr="002F6403" w:rsidRDefault="009E4100" w:rsidP="00B67F32">
            <w:pPr>
              <w:spacing w:before="120" w:after="60"/>
              <w:jc w:val="center"/>
            </w:pPr>
            <w:r w:rsidRPr="002F6403">
              <w:t>2020</w:t>
            </w:r>
          </w:p>
        </w:tc>
        <w:tc>
          <w:tcPr>
            <w:tcW w:w="1612" w:type="dxa"/>
          </w:tcPr>
          <w:p w:rsidR="009E4100" w:rsidRPr="002F6403" w:rsidRDefault="009E4100" w:rsidP="00B67F32">
            <w:pPr>
              <w:spacing w:before="120" w:after="60"/>
              <w:jc w:val="center"/>
            </w:pPr>
            <w:r w:rsidRPr="002F6403">
              <w:t>2021</w:t>
            </w:r>
          </w:p>
        </w:tc>
        <w:tc>
          <w:tcPr>
            <w:tcW w:w="1612" w:type="dxa"/>
          </w:tcPr>
          <w:p w:rsidR="009E4100" w:rsidRPr="002F6403" w:rsidRDefault="009E4100" w:rsidP="00B67F32">
            <w:pPr>
              <w:spacing w:before="120" w:after="60"/>
              <w:jc w:val="center"/>
            </w:pPr>
            <w:r w:rsidRPr="002F6403">
              <w:t>2022</w:t>
            </w:r>
          </w:p>
        </w:tc>
      </w:tr>
      <w:tr w:rsidR="009E4100" w:rsidRPr="002F6403" w:rsidTr="00B67F32">
        <w:trPr>
          <w:trHeight w:val="227"/>
        </w:trPr>
        <w:tc>
          <w:tcPr>
            <w:tcW w:w="2884" w:type="dxa"/>
          </w:tcPr>
          <w:p w:rsidR="009E4100" w:rsidRPr="002F6403" w:rsidRDefault="009E4100" w:rsidP="00B67F32">
            <w:pPr>
              <w:spacing w:before="120" w:after="60"/>
              <w:rPr>
                <w:sz w:val="20"/>
                <w:szCs w:val="20"/>
              </w:rPr>
            </w:pPr>
            <w:r w:rsidRPr="002F6403">
              <w:rPr>
                <w:sz w:val="20"/>
                <w:szCs w:val="20"/>
              </w:rPr>
              <w:t>BDP realni rast</w:t>
            </w:r>
          </w:p>
        </w:tc>
        <w:tc>
          <w:tcPr>
            <w:tcW w:w="1612" w:type="dxa"/>
          </w:tcPr>
          <w:p w:rsidR="009E4100" w:rsidRPr="002F6403" w:rsidRDefault="009E4100" w:rsidP="00B67F32">
            <w:pPr>
              <w:spacing w:before="120" w:after="60"/>
              <w:jc w:val="center"/>
              <w:rPr>
                <w:sz w:val="20"/>
                <w:szCs w:val="20"/>
              </w:rPr>
            </w:pPr>
            <w:r w:rsidRPr="002F6403">
              <w:rPr>
                <w:sz w:val="20"/>
                <w:szCs w:val="20"/>
              </w:rPr>
              <w:t>2,8</w:t>
            </w:r>
          </w:p>
        </w:tc>
        <w:tc>
          <w:tcPr>
            <w:tcW w:w="1612" w:type="dxa"/>
          </w:tcPr>
          <w:p w:rsidR="009E4100" w:rsidRPr="002F6403" w:rsidRDefault="009E4100" w:rsidP="00B67F32">
            <w:pPr>
              <w:spacing w:before="120" w:after="60"/>
              <w:jc w:val="center"/>
              <w:rPr>
                <w:sz w:val="20"/>
                <w:szCs w:val="20"/>
              </w:rPr>
            </w:pPr>
            <w:r w:rsidRPr="002F6403">
              <w:rPr>
                <w:sz w:val="20"/>
                <w:szCs w:val="20"/>
              </w:rPr>
              <w:t>-3,6</w:t>
            </w:r>
          </w:p>
        </w:tc>
        <w:tc>
          <w:tcPr>
            <w:tcW w:w="1612" w:type="dxa"/>
          </w:tcPr>
          <w:p w:rsidR="009E4100" w:rsidRPr="002F6403" w:rsidRDefault="009E4100" w:rsidP="00B67F32">
            <w:pPr>
              <w:spacing w:before="120" w:after="60"/>
              <w:jc w:val="center"/>
              <w:rPr>
                <w:sz w:val="20"/>
                <w:szCs w:val="20"/>
              </w:rPr>
            </w:pPr>
            <w:r w:rsidRPr="002F6403">
              <w:rPr>
                <w:sz w:val="20"/>
                <w:szCs w:val="20"/>
              </w:rPr>
              <w:t>8,1</w:t>
            </w:r>
          </w:p>
        </w:tc>
        <w:tc>
          <w:tcPr>
            <w:tcW w:w="1612" w:type="dxa"/>
          </w:tcPr>
          <w:p w:rsidR="009E4100" w:rsidRPr="002F6403" w:rsidRDefault="009E4100" w:rsidP="00B67F32">
            <w:pPr>
              <w:spacing w:before="120" w:after="60"/>
              <w:jc w:val="center"/>
              <w:rPr>
                <w:sz w:val="20"/>
                <w:szCs w:val="20"/>
              </w:rPr>
            </w:pPr>
            <w:r w:rsidRPr="002F6403">
              <w:rPr>
                <w:sz w:val="20"/>
                <w:szCs w:val="20"/>
              </w:rPr>
              <w:t>3,9</w:t>
            </w:r>
          </w:p>
        </w:tc>
      </w:tr>
      <w:tr w:rsidR="009E4100" w:rsidRPr="002F6403" w:rsidTr="00B67F32">
        <w:trPr>
          <w:trHeight w:val="312"/>
        </w:trPr>
        <w:tc>
          <w:tcPr>
            <w:tcW w:w="2884" w:type="dxa"/>
          </w:tcPr>
          <w:p w:rsidR="009E4100" w:rsidRPr="002F6403" w:rsidRDefault="009E4100" w:rsidP="00B67F32">
            <w:pPr>
              <w:spacing w:before="120" w:after="60"/>
              <w:rPr>
                <w:sz w:val="20"/>
                <w:szCs w:val="20"/>
              </w:rPr>
            </w:pPr>
            <w:r w:rsidRPr="002F6403">
              <w:rPr>
                <w:sz w:val="20"/>
                <w:szCs w:val="20"/>
              </w:rPr>
              <w:t>Index industrijske proizvodnje</w:t>
            </w:r>
          </w:p>
        </w:tc>
        <w:tc>
          <w:tcPr>
            <w:tcW w:w="1612" w:type="dxa"/>
          </w:tcPr>
          <w:p w:rsidR="009E4100" w:rsidRPr="002F6403" w:rsidRDefault="009E4100" w:rsidP="00B67F32">
            <w:pPr>
              <w:spacing w:before="120" w:after="60"/>
              <w:jc w:val="center"/>
              <w:rPr>
                <w:sz w:val="20"/>
                <w:szCs w:val="20"/>
              </w:rPr>
            </w:pPr>
            <w:r w:rsidRPr="002F6403">
              <w:rPr>
                <w:sz w:val="20"/>
                <w:szCs w:val="20"/>
              </w:rPr>
              <w:t>-2,8</w:t>
            </w:r>
          </w:p>
        </w:tc>
        <w:tc>
          <w:tcPr>
            <w:tcW w:w="1612" w:type="dxa"/>
          </w:tcPr>
          <w:p w:rsidR="009E4100" w:rsidRPr="002F6403" w:rsidRDefault="009E4100" w:rsidP="00B67F32">
            <w:pPr>
              <w:spacing w:before="120" w:after="60"/>
              <w:jc w:val="center"/>
              <w:rPr>
                <w:sz w:val="20"/>
                <w:szCs w:val="20"/>
              </w:rPr>
            </w:pPr>
            <w:r w:rsidRPr="002F6403">
              <w:rPr>
                <w:sz w:val="20"/>
                <w:szCs w:val="20"/>
              </w:rPr>
              <w:t>-5,9</w:t>
            </w:r>
          </w:p>
        </w:tc>
        <w:tc>
          <w:tcPr>
            <w:tcW w:w="1612" w:type="dxa"/>
          </w:tcPr>
          <w:p w:rsidR="009E4100" w:rsidRPr="002F6403" w:rsidRDefault="009E4100" w:rsidP="00B67F32">
            <w:pPr>
              <w:spacing w:before="120" w:after="60"/>
              <w:jc w:val="center"/>
              <w:rPr>
                <w:sz w:val="20"/>
                <w:szCs w:val="20"/>
              </w:rPr>
            </w:pPr>
            <w:r w:rsidRPr="002F6403">
              <w:rPr>
                <w:sz w:val="20"/>
                <w:szCs w:val="20"/>
              </w:rPr>
              <w:t>9,8</w:t>
            </w:r>
          </w:p>
        </w:tc>
        <w:tc>
          <w:tcPr>
            <w:tcW w:w="1612" w:type="dxa"/>
          </w:tcPr>
          <w:p w:rsidR="009E4100" w:rsidRPr="002F6403" w:rsidRDefault="009E4100" w:rsidP="00B67F32">
            <w:pPr>
              <w:spacing w:before="120" w:after="60"/>
              <w:jc w:val="center"/>
              <w:rPr>
                <w:sz w:val="20"/>
                <w:szCs w:val="20"/>
              </w:rPr>
            </w:pPr>
            <w:r w:rsidRPr="002F6403">
              <w:rPr>
                <w:sz w:val="20"/>
                <w:szCs w:val="20"/>
              </w:rPr>
              <w:t>1,2</w:t>
            </w:r>
          </w:p>
        </w:tc>
      </w:tr>
      <w:tr w:rsidR="009E4100" w:rsidRPr="002F6403" w:rsidTr="00B67F32">
        <w:trPr>
          <w:trHeight w:val="225"/>
        </w:trPr>
        <w:tc>
          <w:tcPr>
            <w:tcW w:w="2884" w:type="dxa"/>
          </w:tcPr>
          <w:p w:rsidR="009E4100" w:rsidRPr="002F6403" w:rsidRDefault="009E4100" w:rsidP="00B67F32">
            <w:pPr>
              <w:spacing w:before="120" w:after="60"/>
              <w:rPr>
                <w:sz w:val="20"/>
                <w:szCs w:val="20"/>
              </w:rPr>
            </w:pPr>
            <w:r w:rsidRPr="002F6403">
              <w:rPr>
                <w:sz w:val="20"/>
                <w:szCs w:val="20"/>
              </w:rPr>
              <w:t>Index potrošačkih cijena</w:t>
            </w:r>
          </w:p>
        </w:tc>
        <w:tc>
          <w:tcPr>
            <w:tcW w:w="1612" w:type="dxa"/>
          </w:tcPr>
          <w:p w:rsidR="009E4100" w:rsidRPr="002F6403" w:rsidRDefault="009E4100" w:rsidP="00B67F32">
            <w:pPr>
              <w:spacing w:before="120" w:after="60"/>
              <w:jc w:val="center"/>
              <w:rPr>
                <w:sz w:val="20"/>
                <w:szCs w:val="20"/>
              </w:rPr>
            </w:pPr>
            <w:r w:rsidRPr="002F6403">
              <w:rPr>
                <w:sz w:val="20"/>
                <w:szCs w:val="20"/>
              </w:rPr>
              <w:t>0,6</w:t>
            </w:r>
          </w:p>
        </w:tc>
        <w:tc>
          <w:tcPr>
            <w:tcW w:w="1612" w:type="dxa"/>
          </w:tcPr>
          <w:p w:rsidR="009E4100" w:rsidRPr="002F6403" w:rsidRDefault="009E4100" w:rsidP="00B67F32">
            <w:pPr>
              <w:spacing w:before="120" w:after="60"/>
              <w:jc w:val="center"/>
              <w:rPr>
                <w:sz w:val="20"/>
                <w:szCs w:val="20"/>
              </w:rPr>
            </w:pPr>
            <w:r w:rsidRPr="002F6403">
              <w:rPr>
                <w:sz w:val="20"/>
                <w:szCs w:val="20"/>
              </w:rPr>
              <w:t>-0,9</w:t>
            </w:r>
          </w:p>
        </w:tc>
        <w:tc>
          <w:tcPr>
            <w:tcW w:w="1612" w:type="dxa"/>
          </w:tcPr>
          <w:p w:rsidR="009E4100" w:rsidRPr="002F6403" w:rsidRDefault="009E4100" w:rsidP="00B67F32">
            <w:pPr>
              <w:spacing w:before="120" w:after="60"/>
              <w:jc w:val="center"/>
              <w:rPr>
                <w:sz w:val="20"/>
                <w:szCs w:val="20"/>
              </w:rPr>
            </w:pPr>
            <w:r w:rsidRPr="002F6403">
              <w:rPr>
                <w:sz w:val="20"/>
                <w:szCs w:val="20"/>
              </w:rPr>
              <w:t>2,1</w:t>
            </w:r>
          </w:p>
        </w:tc>
        <w:tc>
          <w:tcPr>
            <w:tcW w:w="1612" w:type="dxa"/>
          </w:tcPr>
          <w:p w:rsidR="009E4100" w:rsidRPr="002F6403" w:rsidRDefault="009E4100" w:rsidP="00B67F32">
            <w:pPr>
              <w:spacing w:before="120" w:after="60"/>
              <w:jc w:val="center"/>
              <w:rPr>
                <w:sz w:val="20"/>
                <w:szCs w:val="20"/>
              </w:rPr>
            </w:pPr>
            <w:r w:rsidRPr="002F6403">
              <w:rPr>
                <w:sz w:val="20"/>
                <w:szCs w:val="20"/>
              </w:rPr>
              <w:t>14,9</w:t>
            </w:r>
          </w:p>
        </w:tc>
      </w:tr>
      <w:tr w:rsidR="009E4100" w:rsidRPr="002F6403" w:rsidTr="00B67F32">
        <w:trPr>
          <w:trHeight w:val="242"/>
        </w:trPr>
        <w:tc>
          <w:tcPr>
            <w:tcW w:w="2884" w:type="dxa"/>
          </w:tcPr>
          <w:p w:rsidR="009E4100" w:rsidRPr="002F6403" w:rsidRDefault="009E4100" w:rsidP="00B67F32">
            <w:pPr>
              <w:spacing w:before="120" w:after="60"/>
              <w:rPr>
                <w:sz w:val="20"/>
                <w:szCs w:val="20"/>
              </w:rPr>
            </w:pPr>
            <w:r w:rsidRPr="002F6403">
              <w:rPr>
                <w:sz w:val="20"/>
                <w:szCs w:val="20"/>
              </w:rPr>
              <w:t>Izvoz roba</w:t>
            </w:r>
          </w:p>
        </w:tc>
        <w:tc>
          <w:tcPr>
            <w:tcW w:w="1612" w:type="dxa"/>
          </w:tcPr>
          <w:p w:rsidR="009E4100" w:rsidRPr="002F6403" w:rsidRDefault="009E4100" w:rsidP="00B67F32">
            <w:pPr>
              <w:spacing w:before="120" w:after="60"/>
              <w:jc w:val="center"/>
              <w:rPr>
                <w:sz w:val="20"/>
                <w:szCs w:val="20"/>
              </w:rPr>
            </w:pPr>
            <w:r w:rsidRPr="002F6403">
              <w:rPr>
                <w:sz w:val="20"/>
                <w:szCs w:val="20"/>
              </w:rPr>
              <w:t>-3,7</w:t>
            </w:r>
          </w:p>
        </w:tc>
        <w:tc>
          <w:tcPr>
            <w:tcW w:w="1612" w:type="dxa"/>
          </w:tcPr>
          <w:p w:rsidR="009E4100" w:rsidRPr="002F6403" w:rsidRDefault="009E4100" w:rsidP="00B67F32">
            <w:pPr>
              <w:spacing w:before="120" w:after="60"/>
              <w:jc w:val="center"/>
              <w:rPr>
                <w:sz w:val="20"/>
                <w:szCs w:val="20"/>
              </w:rPr>
            </w:pPr>
            <w:r w:rsidRPr="002F6403">
              <w:rPr>
                <w:sz w:val="20"/>
                <w:szCs w:val="20"/>
              </w:rPr>
              <w:t>-9,8</w:t>
            </w:r>
          </w:p>
        </w:tc>
        <w:tc>
          <w:tcPr>
            <w:tcW w:w="1612" w:type="dxa"/>
          </w:tcPr>
          <w:p w:rsidR="009E4100" w:rsidRPr="002F6403" w:rsidRDefault="009E4100" w:rsidP="00B67F32">
            <w:pPr>
              <w:spacing w:before="120" w:after="60"/>
              <w:jc w:val="center"/>
              <w:rPr>
                <w:sz w:val="20"/>
                <w:szCs w:val="20"/>
              </w:rPr>
            </w:pPr>
            <w:r w:rsidRPr="002F6403">
              <w:rPr>
                <w:sz w:val="20"/>
                <w:szCs w:val="20"/>
              </w:rPr>
              <w:t>39,3</w:t>
            </w:r>
          </w:p>
        </w:tc>
        <w:tc>
          <w:tcPr>
            <w:tcW w:w="1612" w:type="dxa"/>
          </w:tcPr>
          <w:p w:rsidR="009E4100" w:rsidRPr="002F6403" w:rsidRDefault="009E4100" w:rsidP="00B67F32">
            <w:pPr>
              <w:spacing w:before="120" w:after="60"/>
              <w:jc w:val="center"/>
              <w:rPr>
                <w:sz w:val="20"/>
                <w:szCs w:val="20"/>
              </w:rPr>
            </w:pPr>
            <w:r w:rsidRPr="002F6403">
              <w:rPr>
                <w:sz w:val="20"/>
                <w:szCs w:val="20"/>
              </w:rPr>
              <w:t>26,5</w:t>
            </w:r>
          </w:p>
        </w:tc>
      </w:tr>
      <w:tr w:rsidR="009E4100" w:rsidRPr="002F6403" w:rsidTr="00B67F32">
        <w:trPr>
          <w:trHeight w:val="225"/>
        </w:trPr>
        <w:tc>
          <w:tcPr>
            <w:tcW w:w="2884" w:type="dxa"/>
          </w:tcPr>
          <w:p w:rsidR="009E4100" w:rsidRPr="002F6403" w:rsidRDefault="009E4100" w:rsidP="00B67F32">
            <w:pPr>
              <w:spacing w:before="120" w:after="60"/>
              <w:rPr>
                <w:sz w:val="20"/>
                <w:szCs w:val="20"/>
              </w:rPr>
            </w:pPr>
            <w:r w:rsidRPr="002F6403">
              <w:rPr>
                <w:sz w:val="20"/>
                <w:szCs w:val="20"/>
              </w:rPr>
              <w:t>Uvoz roba</w:t>
            </w:r>
          </w:p>
        </w:tc>
        <w:tc>
          <w:tcPr>
            <w:tcW w:w="1612" w:type="dxa"/>
          </w:tcPr>
          <w:p w:rsidR="009E4100" w:rsidRPr="002F6403" w:rsidRDefault="009E4100" w:rsidP="00B67F32">
            <w:pPr>
              <w:spacing w:before="120" w:after="60"/>
              <w:jc w:val="center"/>
              <w:rPr>
                <w:sz w:val="20"/>
                <w:szCs w:val="20"/>
              </w:rPr>
            </w:pPr>
            <w:r w:rsidRPr="002F6403">
              <w:rPr>
                <w:sz w:val="20"/>
                <w:szCs w:val="20"/>
              </w:rPr>
              <w:t>4,4</w:t>
            </w:r>
          </w:p>
        </w:tc>
        <w:tc>
          <w:tcPr>
            <w:tcW w:w="1612" w:type="dxa"/>
          </w:tcPr>
          <w:p w:rsidR="009E4100" w:rsidRPr="002F6403" w:rsidRDefault="009E4100" w:rsidP="00B67F32">
            <w:pPr>
              <w:spacing w:before="120" w:after="60"/>
              <w:jc w:val="center"/>
              <w:rPr>
                <w:sz w:val="20"/>
                <w:szCs w:val="20"/>
              </w:rPr>
            </w:pPr>
            <w:r w:rsidRPr="002F6403">
              <w:rPr>
                <w:sz w:val="20"/>
                <w:szCs w:val="20"/>
              </w:rPr>
              <w:t>-15,7</w:t>
            </w:r>
          </w:p>
        </w:tc>
        <w:tc>
          <w:tcPr>
            <w:tcW w:w="1612" w:type="dxa"/>
          </w:tcPr>
          <w:p w:rsidR="009E4100" w:rsidRPr="002F6403" w:rsidRDefault="009E4100" w:rsidP="00B67F32">
            <w:pPr>
              <w:spacing w:before="120" w:after="60"/>
              <w:jc w:val="center"/>
              <w:rPr>
                <w:sz w:val="20"/>
                <w:szCs w:val="20"/>
              </w:rPr>
            </w:pPr>
            <w:r w:rsidRPr="002F6403">
              <w:rPr>
                <w:sz w:val="20"/>
                <w:szCs w:val="20"/>
              </w:rPr>
              <w:t>29,5</w:t>
            </w:r>
          </w:p>
        </w:tc>
        <w:tc>
          <w:tcPr>
            <w:tcW w:w="1612" w:type="dxa"/>
          </w:tcPr>
          <w:p w:rsidR="009E4100" w:rsidRPr="002F6403" w:rsidRDefault="009E4100" w:rsidP="00B67F32">
            <w:pPr>
              <w:spacing w:before="120" w:after="60"/>
              <w:jc w:val="center"/>
              <w:rPr>
                <w:sz w:val="20"/>
                <w:szCs w:val="20"/>
              </w:rPr>
            </w:pPr>
            <w:r w:rsidRPr="002F6403">
              <w:rPr>
                <w:sz w:val="20"/>
                <w:szCs w:val="20"/>
              </w:rPr>
              <w:t>34,8</w:t>
            </w:r>
          </w:p>
        </w:tc>
      </w:tr>
      <w:tr w:rsidR="009E4100" w:rsidRPr="002F6403" w:rsidTr="00B67F32">
        <w:trPr>
          <w:trHeight w:val="225"/>
        </w:trPr>
        <w:tc>
          <w:tcPr>
            <w:tcW w:w="2884" w:type="dxa"/>
          </w:tcPr>
          <w:p w:rsidR="009E4100" w:rsidRPr="002F6403" w:rsidRDefault="009E4100" w:rsidP="00B67F32">
            <w:pPr>
              <w:spacing w:before="120" w:after="60"/>
              <w:rPr>
                <w:sz w:val="20"/>
                <w:szCs w:val="20"/>
              </w:rPr>
            </w:pPr>
            <w:r w:rsidRPr="002F6403">
              <w:rPr>
                <w:sz w:val="20"/>
                <w:szCs w:val="20"/>
              </w:rPr>
              <w:t>Pokrivenost uvoza izvozom</w:t>
            </w:r>
          </w:p>
        </w:tc>
        <w:tc>
          <w:tcPr>
            <w:tcW w:w="1612" w:type="dxa"/>
          </w:tcPr>
          <w:p w:rsidR="009E4100" w:rsidRPr="002F6403" w:rsidRDefault="009E4100" w:rsidP="00B67F32">
            <w:pPr>
              <w:spacing w:before="120" w:after="60"/>
              <w:jc w:val="center"/>
              <w:rPr>
                <w:sz w:val="20"/>
                <w:szCs w:val="20"/>
              </w:rPr>
            </w:pPr>
            <w:r w:rsidRPr="002F6403">
              <w:rPr>
                <w:sz w:val="20"/>
                <w:szCs w:val="20"/>
              </w:rPr>
              <w:t>55</w:t>
            </w:r>
          </w:p>
        </w:tc>
        <w:tc>
          <w:tcPr>
            <w:tcW w:w="1612" w:type="dxa"/>
          </w:tcPr>
          <w:p w:rsidR="009E4100" w:rsidRPr="002F6403" w:rsidRDefault="009E4100" w:rsidP="00B67F32">
            <w:pPr>
              <w:spacing w:before="120" w:after="60"/>
              <w:jc w:val="center"/>
              <w:rPr>
                <w:sz w:val="20"/>
                <w:szCs w:val="20"/>
              </w:rPr>
            </w:pPr>
            <w:r w:rsidRPr="002F6403">
              <w:rPr>
                <w:sz w:val="20"/>
                <w:szCs w:val="20"/>
              </w:rPr>
              <w:t>58,8</w:t>
            </w:r>
          </w:p>
        </w:tc>
        <w:tc>
          <w:tcPr>
            <w:tcW w:w="1612" w:type="dxa"/>
          </w:tcPr>
          <w:p w:rsidR="009E4100" w:rsidRPr="002F6403" w:rsidRDefault="009E4100" w:rsidP="00B67F32">
            <w:pPr>
              <w:spacing w:before="120" w:after="60"/>
              <w:jc w:val="center"/>
              <w:rPr>
                <w:sz w:val="20"/>
                <w:szCs w:val="20"/>
              </w:rPr>
            </w:pPr>
            <w:r w:rsidRPr="002F6403">
              <w:rPr>
                <w:sz w:val="20"/>
                <w:szCs w:val="20"/>
              </w:rPr>
              <w:t>63,3</w:t>
            </w:r>
          </w:p>
        </w:tc>
        <w:tc>
          <w:tcPr>
            <w:tcW w:w="1612" w:type="dxa"/>
          </w:tcPr>
          <w:p w:rsidR="009E4100" w:rsidRPr="002F6403" w:rsidRDefault="009E4100" w:rsidP="00B67F32">
            <w:pPr>
              <w:spacing w:before="120" w:after="60"/>
              <w:jc w:val="center"/>
              <w:rPr>
                <w:sz w:val="20"/>
                <w:szCs w:val="20"/>
              </w:rPr>
            </w:pPr>
            <w:r w:rsidRPr="002F6403">
              <w:rPr>
                <w:sz w:val="20"/>
                <w:szCs w:val="20"/>
              </w:rPr>
              <w:t>59,4</w:t>
            </w:r>
          </w:p>
        </w:tc>
      </w:tr>
      <w:tr w:rsidR="009E4100" w:rsidRPr="002F6403" w:rsidTr="00B67F32">
        <w:trPr>
          <w:trHeight w:val="225"/>
        </w:trPr>
        <w:tc>
          <w:tcPr>
            <w:tcW w:w="2884" w:type="dxa"/>
          </w:tcPr>
          <w:p w:rsidR="009E4100" w:rsidRPr="002F6403" w:rsidRDefault="009E4100" w:rsidP="00B67F32">
            <w:pPr>
              <w:spacing w:before="120" w:after="60"/>
              <w:rPr>
                <w:sz w:val="20"/>
                <w:szCs w:val="20"/>
              </w:rPr>
            </w:pPr>
            <w:r w:rsidRPr="002F6403">
              <w:rPr>
                <w:sz w:val="20"/>
                <w:szCs w:val="20"/>
              </w:rPr>
              <w:t>Stopa registrovane nezaposlenosti</w:t>
            </w:r>
          </w:p>
        </w:tc>
        <w:tc>
          <w:tcPr>
            <w:tcW w:w="1612" w:type="dxa"/>
          </w:tcPr>
          <w:p w:rsidR="009E4100" w:rsidRPr="002F6403" w:rsidRDefault="009E4100" w:rsidP="00B67F32">
            <w:pPr>
              <w:spacing w:before="120" w:after="60"/>
              <w:jc w:val="center"/>
              <w:rPr>
                <w:sz w:val="20"/>
                <w:szCs w:val="20"/>
              </w:rPr>
            </w:pPr>
            <w:r w:rsidRPr="002F6403">
              <w:rPr>
                <w:sz w:val="20"/>
                <w:szCs w:val="20"/>
              </w:rPr>
              <w:t>37,1</w:t>
            </w:r>
          </w:p>
        </w:tc>
        <w:tc>
          <w:tcPr>
            <w:tcW w:w="1612" w:type="dxa"/>
          </w:tcPr>
          <w:p w:rsidR="009E4100" w:rsidRPr="002F6403" w:rsidRDefault="009E4100" w:rsidP="00B67F32">
            <w:pPr>
              <w:spacing w:before="120" w:after="60"/>
              <w:jc w:val="center"/>
              <w:rPr>
                <w:sz w:val="20"/>
                <w:szCs w:val="20"/>
              </w:rPr>
            </w:pPr>
            <w:r w:rsidRPr="002F6403">
              <w:rPr>
                <w:sz w:val="20"/>
                <w:szCs w:val="20"/>
              </w:rPr>
              <w:t>38,2</w:t>
            </w:r>
          </w:p>
        </w:tc>
        <w:tc>
          <w:tcPr>
            <w:tcW w:w="1612" w:type="dxa"/>
          </w:tcPr>
          <w:p w:rsidR="009E4100" w:rsidRPr="002F6403" w:rsidRDefault="009E4100" w:rsidP="00B67F32">
            <w:pPr>
              <w:spacing w:before="120" w:after="60"/>
              <w:jc w:val="center"/>
              <w:rPr>
                <w:sz w:val="20"/>
                <w:szCs w:val="20"/>
              </w:rPr>
            </w:pPr>
            <w:r w:rsidRPr="002F6403">
              <w:rPr>
                <w:sz w:val="20"/>
                <w:szCs w:val="20"/>
              </w:rPr>
              <w:t>37,2</w:t>
            </w:r>
          </w:p>
        </w:tc>
        <w:tc>
          <w:tcPr>
            <w:tcW w:w="1612" w:type="dxa"/>
          </w:tcPr>
          <w:p w:rsidR="009E4100" w:rsidRPr="002F6403" w:rsidRDefault="009E4100" w:rsidP="00B67F32">
            <w:pPr>
              <w:spacing w:before="120" w:after="60"/>
              <w:jc w:val="center"/>
              <w:rPr>
                <w:sz w:val="20"/>
                <w:szCs w:val="20"/>
              </w:rPr>
            </w:pPr>
            <w:r w:rsidRPr="002F6403">
              <w:rPr>
                <w:sz w:val="20"/>
                <w:szCs w:val="20"/>
              </w:rPr>
              <w:t>35,1</w:t>
            </w:r>
          </w:p>
        </w:tc>
      </w:tr>
    </w:tbl>
    <w:p w:rsidR="009E4100" w:rsidRPr="002F6403" w:rsidRDefault="009E4100" w:rsidP="009E4100">
      <w:pPr>
        <w:jc w:val="center"/>
        <w:rPr>
          <w:sz w:val="20"/>
          <w:szCs w:val="20"/>
          <w:lang w:val="hr-BA"/>
        </w:rPr>
      </w:pPr>
      <w:r w:rsidRPr="002F6403">
        <w:rPr>
          <w:sz w:val="20"/>
          <w:szCs w:val="20"/>
          <w:lang w:val="hr-BA"/>
        </w:rPr>
        <w:t>Izvor: Podaci FZS, obrada FMF</w:t>
      </w:r>
    </w:p>
    <w:p w:rsidR="009E4100" w:rsidRDefault="009E4100" w:rsidP="009E4100">
      <w:pPr>
        <w:jc w:val="both"/>
      </w:pPr>
      <w:r w:rsidRPr="002F6403">
        <w:t>Prema posljednjim raspoloživim podacima  procijenjena vrijednost BDP- a Federacije BiH (lančano povezane vrijednosti u cijenama 2015) iznosi 22,9 mlrd. KM i viša je za 3,9%  u odnosu na prethodnu godinu. Najznačajniji realni rast bruto dodane vrijednosti u odnosu na prethodnu godinu zabilježen je sljedećim područjima: Informacije i komunikacije 13,3% te Trgovina na veliko i malo; Prijevoz i Djelatnosti pružanja smještaja i hrane od 7,8%. Pad od 0,8% zabilježen je u području: Poljoprivreda, šumarstvo i ribolov.</w:t>
      </w:r>
      <w:r w:rsidRPr="002F6403">
        <w:rPr>
          <w:rStyle w:val="FootnoteReference"/>
        </w:rPr>
        <w:footnoteReference w:id="6"/>
      </w:r>
      <w:r w:rsidRPr="002F6403">
        <w:t xml:space="preserve">U nastavku izvještaja ispod teksta grafički su prikazane vrijednosti BDP– a FBiH po glavi stanovnika za period 2019. – 2022. g. </w:t>
      </w:r>
    </w:p>
    <w:p w:rsidR="009E4100" w:rsidRDefault="009E4100" w:rsidP="009E4100">
      <w:pPr>
        <w:jc w:val="both"/>
      </w:pPr>
    </w:p>
    <w:p w:rsidR="009E4100" w:rsidRPr="002F6403" w:rsidRDefault="009E4100" w:rsidP="009E4100">
      <w:pPr>
        <w:jc w:val="center"/>
      </w:pPr>
      <w:r w:rsidRPr="002F6403">
        <w:rPr>
          <w:b/>
        </w:rPr>
        <w:t>Grafikon 5:</w:t>
      </w:r>
      <w:r w:rsidRPr="002F6403">
        <w:t xml:space="preserve"> BDP FBiH po glavi stanovnika u KM 2019. - 2022. g</w:t>
      </w:r>
    </w:p>
    <w:p w:rsidR="009E4100" w:rsidRPr="002F6403" w:rsidRDefault="009E4100" w:rsidP="009E4100">
      <w:pPr>
        <w:jc w:val="center"/>
      </w:pPr>
      <w:r>
        <w:rPr>
          <w:noProof/>
          <w:lang w:val="hr-HR" w:eastAsia="hr-HR"/>
        </w:rPr>
        <w:lastRenderedPageBreak/>
        <w:drawing>
          <wp:inline distT="0" distB="0" distL="0" distR="0">
            <wp:extent cx="3631692" cy="3058287"/>
            <wp:effectExtent l="12192" t="6096" r="4191" b="2667"/>
            <wp:docPr id="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4100" w:rsidRPr="002F6403" w:rsidRDefault="009E4100" w:rsidP="009E4100">
      <w:pPr>
        <w:jc w:val="center"/>
        <w:rPr>
          <w:sz w:val="20"/>
          <w:szCs w:val="20"/>
        </w:rPr>
      </w:pPr>
      <w:r w:rsidRPr="002F6403">
        <w:rPr>
          <w:sz w:val="20"/>
          <w:szCs w:val="20"/>
        </w:rPr>
        <w:t>Izvor: FZS, obrada FMF</w:t>
      </w:r>
    </w:p>
    <w:p w:rsidR="009E4100" w:rsidRPr="002F6403" w:rsidRDefault="009E4100" w:rsidP="009E4100">
      <w:pPr>
        <w:jc w:val="center"/>
        <w:rPr>
          <w:sz w:val="20"/>
          <w:szCs w:val="20"/>
        </w:rPr>
      </w:pPr>
    </w:p>
    <w:p w:rsidR="009E4100" w:rsidRPr="002F6403" w:rsidRDefault="009E4100" w:rsidP="009E4100">
      <w:pPr>
        <w:ind w:firstLine="709"/>
        <w:jc w:val="both"/>
      </w:pPr>
      <w:r w:rsidRPr="002F6403">
        <w:t xml:space="preserve">Indeks obima </w:t>
      </w:r>
      <w:r w:rsidRPr="002F6403">
        <w:rPr>
          <w:b/>
          <w:i/>
        </w:rPr>
        <w:t>industrijske proizvodnje</w:t>
      </w:r>
      <w:r w:rsidRPr="002F6403">
        <w:t xml:space="preserve"> u FBiH za period I-XII 2022. g. u odnosu na isti period prethodne godine bilježi rast od 1,2%. Industrijska proizvodnja bilježi rast u svim oblastima, izuzev oblasti: Energija gdje biljezi pad od 10,4%. Najviši rast na godišnjem nivou ostvaren je u oblasti: Kapitalni proizvodi od 10,2%. Promatrano prema područjima i oblastima KD 2010, za isti promatrani period pad bilježe područja djelatnosti: Vađenje rude i kamena od 6% i Proizvodnja i snabdijevanje električnom energijom i plinom od 11,7%, a rast: Prerađivačka industrija od 4,7%.</w:t>
      </w:r>
      <w:r w:rsidRPr="002F6403">
        <w:rPr>
          <w:rStyle w:val="FootnoteReference"/>
        </w:rPr>
        <w:footnoteReference w:id="7"/>
      </w:r>
      <w:r w:rsidRPr="002F6403">
        <w:t xml:space="preserve"> U nastavku izvještaja ispod teksta linijskim dijagramom predstavljene su godišnje stope promjena obima ukupne industrijske proizvodnje  za period 2019. - 2022. g.</w:t>
      </w:r>
    </w:p>
    <w:p w:rsidR="009E4100" w:rsidRPr="002F6403" w:rsidRDefault="009E4100" w:rsidP="009E4100">
      <w:pPr>
        <w:spacing w:before="240"/>
        <w:jc w:val="center"/>
      </w:pPr>
      <w:r w:rsidRPr="002F6403">
        <w:rPr>
          <w:b/>
        </w:rPr>
        <w:t>Grafikon 6:</w:t>
      </w:r>
      <w:r w:rsidRPr="002F6403">
        <w:t xml:space="preserve"> Godišnje stope promjena obima ukupne industrijske proizvodnje 2019. - 2022. g.</w:t>
      </w:r>
    </w:p>
    <w:p w:rsidR="009E4100" w:rsidRPr="002F6403" w:rsidRDefault="009E4100" w:rsidP="009E4100">
      <w:pPr>
        <w:jc w:val="center"/>
      </w:pPr>
      <w:r>
        <w:rPr>
          <w:noProof/>
          <w:lang w:val="hr-HR" w:eastAsia="hr-HR"/>
        </w:rPr>
        <w:drawing>
          <wp:inline distT="0" distB="0" distL="0" distR="0">
            <wp:extent cx="3970020" cy="1984629"/>
            <wp:effectExtent l="12192" t="6096" r="8763" b="0"/>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4100" w:rsidRPr="002F6403" w:rsidRDefault="009E4100" w:rsidP="009E4100">
      <w:pPr>
        <w:jc w:val="center"/>
        <w:rPr>
          <w:sz w:val="20"/>
          <w:szCs w:val="20"/>
        </w:rPr>
      </w:pPr>
      <w:r w:rsidRPr="002F6403">
        <w:rPr>
          <w:sz w:val="20"/>
          <w:szCs w:val="20"/>
        </w:rPr>
        <w:t>Izvor FZS, Obrada FMF</w:t>
      </w:r>
    </w:p>
    <w:p w:rsidR="009E4100" w:rsidRPr="002F6403" w:rsidRDefault="009E4100" w:rsidP="009E4100">
      <w:pPr>
        <w:ind w:firstLine="709"/>
        <w:jc w:val="both"/>
      </w:pPr>
      <w:r w:rsidRPr="002F6403">
        <w:lastRenderedPageBreak/>
        <w:t xml:space="preserve">U 2022. g.ukupan </w:t>
      </w:r>
      <w:r w:rsidRPr="002F6403">
        <w:rPr>
          <w:b/>
        </w:rPr>
        <w:t>izvoz</w:t>
      </w:r>
      <w:r w:rsidRPr="002F6403">
        <w:t xml:space="preserve"> u FBiH iznosio je 12,1 mlrd KM, dočim je ukupan </w:t>
      </w:r>
      <w:r w:rsidRPr="002F6403">
        <w:rPr>
          <w:b/>
        </w:rPr>
        <w:t>uvoz</w:t>
      </w:r>
      <w:r w:rsidRPr="002F6403">
        <w:t>iznosio 20,4 mlrd KM. Prema godišnjoj analizi izvoz je porastao za 26,5%, a uvoz za 34,8%. Ovakav rast najvećim dijelom je rezultat visokog rasta cijena  u 2022. godini. Vanjskotrgovinski deficit iznosio je 8,3 mlrd KM i viši je u odnosu na prethodnu godinu za 49%. Pokrivenost uvoza izvozom iznosi 59,4% i manja je u odnosu na prethodnu godinu za oko 3,9% p/p.</w:t>
      </w:r>
      <w:r w:rsidRPr="002F6403">
        <w:rPr>
          <w:rStyle w:val="FootnoteReference"/>
        </w:rPr>
        <w:footnoteReference w:id="8"/>
      </w:r>
      <w:r w:rsidRPr="002F6403">
        <w:t>Najveći izvozni partneri Federacije BiH su Njemačka i Hrvatska, a uvozni Italija i Njemačka. U nastavku izvještaja grafički je predstavljen uvoz, izvoz te vanjskotrgovinski deficit  Federacije BiH za period 2015. - 2022. g.</w:t>
      </w:r>
    </w:p>
    <w:p w:rsidR="009E4100" w:rsidRPr="002F6403" w:rsidRDefault="009E4100" w:rsidP="009E4100">
      <w:pPr>
        <w:jc w:val="both"/>
      </w:pPr>
    </w:p>
    <w:p w:rsidR="009E4100" w:rsidRPr="002F6403" w:rsidRDefault="009E4100" w:rsidP="009E4100">
      <w:pPr>
        <w:jc w:val="center"/>
      </w:pPr>
      <w:r w:rsidRPr="002F6403">
        <w:rPr>
          <w:b/>
        </w:rPr>
        <w:t>Grafikon 8:</w:t>
      </w:r>
      <w:r w:rsidRPr="002F6403">
        <w:t xml:space="preserve"> Vanjskotrgovinska razmjena FBiH za period 2015. - 2022. g.</w:t>
      </w:r>
    </w:p>
    <w:p w:rsidR="009E4100" w:rsidRPr="002F6403" w:rsidRDefault="009E4100" w:rsidP="009E4100">
      <w:pPr>
        <w:jc w:val="center"/>
      </w:pPr>
      <w:r>
        <w:rPr>
          <w:noProof/>
          <w:lang w:val="hr-HR" w:eastAsia="hr-HR"/>
        </w:rPr>
        <w:drawing>
          <wp:inline distT="0" distB="0" distL="0" distR="0">
            <wp:extent cx="4572762" cy="3108579"/>
            <wp:effectExtent l="12192" t="6096" r="6096"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4100" w:rsidRPr="002F6403" w:rsidRDefault="009E4100" w:rsidP="009E4100">
      <w:pPr>
        <w:jc w:val="center"/>
        <w:rPr>
          <w:sz w:val="20"/>
          <w:szCs w:val="20"/>
        </w:rPr>
      </w:pPr>
      <w:r w:rsidRPr="002F6403">
        <w:rPr>
          <w:sz w:val="20"/>
          <w:szCs w:val="20"/>
        </w:rPr>
        <w:t>Izvor: FZS, obrada FMF</w:t>
      </w:r>
    </w:p>
    <w:p w:rsidR="009E4100" w:rsidRPr="002F6403" w:rsidRDefault="009E4100" w:rsidP="009E4100">
      <w:pPr>
        <w:jc w:val="center"/>
        <w:rPr>
          <w:sz w:val="20"/>
          <w:szCs w:val="20"/>
        </w:rPr>
      </w:pPr>
    </w:p>
    <w:p w:rsidR="009E4100" w:rsidRPr="002F6403" w:rsidRDefault="009E4100" w:rsidP="009E4100">
      <w:pPr>
        <w:ind w:firstLine="709"/>
        <w:jc w:val="both"/>
      </w:pPr>
      <w:r w:rsidRPr="002F6403">
        <w:t xml:space="preserve">Ispod teksta u nastavku izvješaja stupčastim dijagamom  predstavljen vanjskotrgovinski bilans Federacije sa 5 najznačajnijih partnera u 2022. godini. Vanjskotrgovinski suficit od dolje prikazanih partnera Federacije BiH ostvaren je jedino u razmjeni sa Austrijom, dočim je najviši deficit zabilježen u  trgovinskoj razmjeni sa Italijom. </w:t>
      </w:r>
    </w:p>
    <w:p w:rsidR="009E4100" w:rsidRDefault="009E4100"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Default="00D21F0A" w:rsidP="009E4100">
      <w:pPr>
        <w:jc w:val="both"/>
      </w:pPr>
    </w:p>
    <w:p w:rsidR="00D21F0A" w:rsidRPr="002F6403" w:rsidRDefault="00D21F0A" w:rsidP="009E4100">
      <w:pPr>
        <w:jc w:val="both"/>
      </w:pPr>
    </w:p>
    <w:p w:rsidR="009E4100" w:rsidRPr="002F6403" w:rsidRDefault="009E4100" w:rsidP="009E4100">
      <w:pPr>
        <w:jc w:val="center"/>
      </w:pPr>
      <w:r w:rsidRPr="002F6403">
        <w:rPr>
          <w:b/>
        </w:rPr>
        <w:t>Grafikon 8:</w:t>
      </w:r>
      <w:r w:rsidRPr="002F6403">
        <w:t xml:space="preserve"> Vanjskotrgovinska bilans FBiH u 2022. sa najznačanijim partnerima</w:t>
      </w:r>
    </w:p>
    <w:p w:rsidR="009E4100" w:rsidRPr="002F6403" w:rsidRDefault="009E4100" w:rsidP="009E4100">
      <w:pPr>
        <w:jc w:val="center"/>
      </w:pPr>
      <w:r>
        <w:rPr>
          <w:noProof/>
          <w:lang w:val="hr-HR" w:eastAsia="hr-HR"/>
        </w:rPr>
        <w:drawing>
          <wp:inline distT="0" distB="0" distL="0" distR="0">
            <wp:extent cx="4572762" cy="2746629"/>
            <wp:effectExtent l="12192" t="6096" r="6096"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4100" w:rsidRPr="002F6403" w:rsidRDefault="009E4100" w:rsidP="009E4100">
      <w:pPr>
        <w:jc w:val="center"/>
        <w:rPr>
          <w:sz w:val="20"/>
          <w:szCs w:val="20"/>
        </w:rPr>
      </w:pPr>
      <w:r w:rsidRPr="002F6403">
        <w:rPr>
          <w:sz w:val="20"/>
          <w:szCs w:val="20"/>
        </w:rPr>
        <w:t>Izvor: FZS, obrada FMF</w:t>
      </w:r>
    </w:p>
    <w:p w:rsidR="009E4100" w:rsidRPr="002F6403" w:rsidRDefault="009E4100" w:rsidP="009E4100">
      <w:pPr>
        <w:jc w:val="center"/>
      </w:pPr>
    </w:p>
    <w:p w:rsidR="00D21F0A" w:rsidRDefault="00D21F0A" w:rsidP="009E4100">
      <w:pPr>
        <w:ind w:firstLine="709"/>
        <w:jc w:val="both"/>
      </w:pPr>
    </w:p>
    <w:p w:rsidR="009E4100" w:rsidRDefault="009E4100" w:rsidP="009E4100">
      <w:pPr>
        <w:ind w:firstLine="709"/>
        <w:jc w:val="both"/>
      </w:pPr>
      <w:r w:rsidRPr="002F6403">
        <w:t xml:space="preserve">Nakon deflacije u 2020. g, u 2021. g. </w:t>
      </w:r>
      <w:r w:rsidRPr="002F6403">
        <w:rPr>
          <w:b/>
        </w:rPr>
        <w:t>inflacija</w:t>
      </w:r>
      <w:r w:rsidRPr="002F6403">
        <w:t xml:space="preserve"> je startala sa prosječnom godišnjom  vrijednošću od 2,1%. U oktobru mjesecu 2022. g. doseže svoj vrhunac sa rekordnom stopom na godišnjem nivou od 19,1%. Prema podacima Federalnog zavoda za statistikuprosječna godišnja inflacija u 2022. godini iznosila je 14,9%.</w:t>
      </w:r>
      <w:r w:rsidRPr="002F6403">
        <w:rPr>
          <w:rStyle w:val="FootnoteReference"/>
        </w:rPr>
        <w:footnoteReference w:id="9"/>
      </w:r>
      <w:r w:rsidRPr="002F6403">
        <w:t xml:space="preserve"> Ispod teksta grafički je prikazan trend kretanja potrošačkih cijena u FBiH 2015. – 2022. g. </w:t>
      </w:r>
    </w:p>
    <w:p w:rsidR="009E4100" w:rsidRPr="002F6403" w:rsidRDefault="009E4100" w:rsidP="009E4100">
      <w:pPr>
        <w:ind w:firstLine="709"/>
        <w:jc w:val="both"/>
      </w:pPr>
    </w:p>
    <w:p w:rsidR="009E4100" w:rsidRPr="002F6403" w:rsidRDefault="009E4100" w:rsidP="009E4100">
      <w:pPr>
        <w:jc w:val="center"/>
      </w:pPr>
      <w:r w:rsidRPr="002F6403">
        <w:rPr>
          <w:b/>
        </w:rPr>
        <w:t>Grafikon 9:</w:t>
      </w:r>
      <w:r w:rsidRPr="002F6403">
        <w:t xml:space="preserve"> Trend kretanja potrošačkih cijena u FBiH 2015. - 2022. g.</w:t>
      </w:r>
    </w:p>
    <w:p w:rsidR="009E4100" w:rsidRPr="002F6403" w:rsidRDefault="009E4100" w:rsidP="009E4100">
      <w:pPr>
        <w:jc w:val="center"/>
      </w:pPr>
      <w:r>
        <w:rPr>
          <w:noProof/>
          <w:lang w:val="hr-HR" w:eastAsia="hr-HR"/>
        </w:rPr>
        <w:drawing>
          <wp:inline distT="0" distB="0" distL="0" distR="0">
            <wp:extent cx="4013454" cy="2333625"/>
            <wp:effectExtent l="6096" t="0" r="0" b="0"/>
            <wp:docPr id="8"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4100" w:rsidRPr="002F6403" w:rsidRDefault="009E4100" w:rsidP="009E4100">
      <w:pPr>
        <w:jc w:val="center"/>
        <w:rPr>
          <w:sz w:val="20"/>
          <w:szCs w:val="20"/>
        </w:rPr>
      </w:pPr>
      <w:r w:rsidRPr="002F6403">
        <w:rPr>
          <w:sz w:val="20"/>
          <w:szCs w:val="20"/>
        </w:rPr>
        <w:t>Izvor: FZS, obrada FMF</w:t>
      </w:r>
    </w:p>
    <w:p w:rsidR="009E4100" w:rsidRPr="002F6403" w:rsidRDefault="009E4100" w:rsidP="009E4100">
      <w:pPr>
        <w:jc w:val="center"/>
      </w:pPr>
    </w:p>
    <w:p w:rsidR="009E4100" w:rsidRPr="002F6403" w:rsidRDefault="009E4100" w:rsidP="009E4100">
      <w:pPr>
        <w:jc w:val="center"/>
      </w:pPr>
    </w:p>
    <w:p w:rsidR="009E4100" w:rsidRPr="002F6403" w:rsidRDefault="009E4100" w:rsidP="009E4100">
      <w:pPr>
        <w:ind w:firstLine="709"/>
        <w:jc w:val="both"/>
      </w:pPr>
      <w:r w:rsidRPr="002F6403">
        <w:lastRenderedPageBreak/>
        <w:t>U nastavku izvještaja tabelarno su predstavljeni indeksi potrošačkih cijena po odjeljcima Klasifikacije lične potrošnje prema namjeni (COICOP)</w:t>
      </w:r>
      <w:r w:rsidRPr="002F6403">
        <w:rPr>
          <w:rStyle w:val="FootnoteReference"/>
        </w:rPr>
        <w:footnoteReference w:id="10"/>
      </w:r>
      <w:r w:rsidRPr="002F6403">
        <w:t xml:space="preserve"> na godišnjem nivou u 2022. godini.</w:t>
      </w:r>
    </w:p>
    <w:p w:rsidR="009E4100" w:rsidRPr="002F6403" w:rsidRDefault="009E4100" w:rsidP="009E4100">
      <w:pPr>
        <w:jc w:val="both"/>
      </w:pPr>
      <w:r w:rsidRPr="002F6403">
        <w:rPr>
          <w:b/>
          <w:lang w:val="hr-BA"/>
        </w:rPr>
        <w:t>Tabela 3.</w:t>
      </w:r>
      <w:r w:rsidRPr="002F6403">
        <w:t>Indeksi potrošačkih cijena po odjeljcima Klasifikacije lične potrošnje prema namjeni na godišnjem nivou u 2022. g.</w:t>
      </w:r>
    </w:p>
    <w:tbl>
      <w:tblPr>
        <w:tblW w:w="7479" w:type="dxa"/>
        <w:tblLook w:val="04A0"/>
      </w:tblPr>
      <w:tblGrid>
        <w:gridCol w:w="6208"/>
        <w:gridCol w:w="1271"/>
      </w:tblGrid>
      <w:tr w:rsidR="009E4100" w:rsidRPr="002F6403" w:rsidTr="00D21F0A">
        <w:trPr>
          <w:trHeight w:val="373"/>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Odjeljak</w:t>
            </w:r>
          </w:p>
        </w:tc>
        <w:tc>
          <w:tcPr>
            <w:tcW w:w="1271" w:type="dxa"/>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2022/2021</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Hrana i bezalkoholna pića</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21,6</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Alkoholna pića i duhan</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1,9</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Odjeća i obuća</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-6,6</w:t>
            </w:r>
          </w:p>
        </w:tc>
      </w:tr>
      <w:tr w:rsidR="009E4100" w:rsidRPr="002F6403" w:rsidTr="00D21F0A">
        <w:trPr>
          <w:trHeight w:val="286"/>
        </w:trPr>
        <w:tc>
          <w:tcPr>
            <w:tcW w:w="6208" w:type="dxa"/>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Stanovanje voda el.energija plin i dr.energenti</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19</w:t>
            </w:r>
          </w:p>
        </w:tc>
      </w:tr>
      <w:tr w:rsidR="009E4100" w:rsidRPr="002F6403" w:rsidTr="00D21F0A">
        <w:trPr>
          <w:trHeight w:val="264"/>
        </w:trPr>
        <w:tc>
          <w:tcPr>
            <w:tcW w:w="6208" w:type="dxa"/>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Namještaj, kućanski uređaji i redovno održavanje kuće</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9,1</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Zdravstvo</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2,8</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Prijevoz</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24,8</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Komunikacije</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-0,1</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Rekreacija i kultura</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6</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Obrazovanje</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1,8</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Restorani i hoteli</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9,2</w:t>
            </w:r>
          </w:p>
        </w:tc>
      </w:tr>
      <w:tr w:rsidR="009E4100" w:rsidRPr="002F6403" w:rsidTr="00D21F0A">
        <w:trPr>
          <w:trHeight w:val="240"/>
        </w:trPr>
        <w:tc>
          <w:tcPr>
            <w:tcW w:w="6208" w:type="dxa"/>
            <w:noWrap/>
            <w:hideMark/>
          </w:tcPr>
          <w:p w:rsidR="009E4100" w:rsidRPr="00D21F0A" w:rsidRDefault="009E4100" w:rsidP="00D21F0A">
            <w:pPr>
              <w:pStyle w:val="FootnoteText"/>
              <w:rPr>
                <w:rFonts w:ascii="Times New Roman" w:hAnsi="Times New Roman"/>
                <w:lang w:eastAsia="bs-Latn-BA"/>
              </w:rPr>
            </w:pPr>
            <w:r w:rsidRPr="00D21F0A">
              <w:rPr>
                <w:rFonts w:ascii="Times New Roman" w:hAnsi="Times New Roman"/>
                <w:lang w:eastAsia="bs-Latn-BA"/>
              </w:rPr>
              <w:t>Ostala dobra i usluge</w:t>
            </w:r>
          </w:p>
        </w:tc>
        <w:tc>
          <w:tcPr>
            <w:tcW w:w="1271" w:type="dxa"/>
            <w:noWrap/>
            <w:hideMark/>
          </w:tcPr>
          <w:p w:rsidR="009E4100" w:rsidRPr="00D21F0A" w:rsidRDefault="009E4100" w:rsidP="00D21F0A">
            <w:pPr>
              <w:pStyle w:val="FootnoteText"/>
              <w:jc w:val="center"/>
              <w:rPr>
                <w:rFonts w:ascii="Times New Roman" w:hAnsi="Times New Roman"/>
                <w:lang w:eastAsia="bs-Latn-BA"/>
              </w:rPr>
            </w:pPr>
            <w:r w:rsidRPr="00D21F0A">
              <w:rPr>
                <w:rFonts w:ascii="Times New Roman" w:hAnsi="Times New Roman"/>
                <w:lang w:eastAsia="bs-Latn-BA"/>
              </w:rPr>
              <w:t>6</w:t>
            </w:r>
          </w:p>
        </w:tc>
      </w:tr>
    </w:tbl>
    <w:p w:rsidR="009E4100" w:rsidRDefault="009E4100" w:rsidP="009E4100">
      <w:pPr>
        <w:jc w:val="center"/>
        <w:rPr>
          <w:sz w:val="20"/>
          <w:szCs w:val="20"/>
        </w:rPr>
      </w:pPr>
      <w:r w:rsidRPr="002F6403">
        <w:rPr>
          <w:sz w:val="20"/>
          <w:szCs w:val="20"/>
        </w:rPr>
        <w:t>Izvor. FZS, obrada FMF</w:t>
      </w:r>
    </w:p>
    <w:p w:rsidR="00D21F0A" w:rsidRPr="002F6403" w:rsidRDefault="00D21F0A" w:rsidP="009E4100">
      <w:pPr>
        <w:jc w:val="center"/>
        <w:rPr>
          <w:sz w:val="20"/>
          <w:szCs w:val="20"/>
        </w:rPr>
      </w:pPr>
    </w:p>
    <w:p w:rsidR="009E4100" w:rsidRDefault="009E4100" w:rsidP="009E4100">
      <w:pPr>
        <w:ind w:firstLine="709"/>
        <w:jc w:val="both"/>
      </w:pPr>
      <w:r w:rsidRPr="002F6403">
        <w:t xml:space="preserve">Analiza </w:t>
      </w:r>
      <w:r w:rsidRPr="002F6403">
        <w:rPr>
          <w:b/>
        </w:rPr>
        <w:t xml:space="preserve">tržišta rada </w:t>
      </w:r>
      <w:r w:rsidRPr="002F6403">
        <w:t>u FBiH ukazuje na rast prosječnog broja zaposlenih od 2% u 2022. godini, te na pad aktivnog stnovništva od 1,4%, i pad broja nezaposlenih od 7% u odnosu na prethodnu godinu. Prosječna registrovana stopa nezaposlenosti u FBiH u 2022. g. iznosi 35,1% ili iskazano u apsolutnoj vrijednosti iznosi 289.912 nezaposlenih lica.</w:t>
      </w:r>
      <w:r w:rsidRPr="002F6403">
        <w:rPr>
          <w:rStyle w:val="FootnoteReference"/>
        </w:rPr>
        <w:footnoteReference w:id="11"/>
      </w:r>
      <w:r w:rsidRPr="002F6403">
        <w:t xml:space="preserve"> Ispod teksta grafički je prikazano je tržište rada FBiH 2018. – 2022. g. </w:t>
      </w:r>
    </w:p>
    <w:p w:rsidR="009E4100" w:rsidRPr="002F6403" w:rsidRDefault="009E4100" w:rsidP="009E4100">
      <w:pPr>
        <w:jc w:val="center"/>
      </w:pPr>
      <w:r>
        <w:rPr>
          <w:noProof/>
          <w:lang w:val="hr-HR" w:eastAsia="hr-HR"/>
        </w:rPr>
        <w:drawing>
          <wp:anchor distT="0" distB="0" distL="114300" distR="114300" simplePos="0" relativeHeight="251660288" behindDoc="0" locked="0" layoutInCell="1" allowOverlap="1">
            <wp:simplePos x="0" y="0"/>
            <wp:positionH relativeFrom="margin">
              <wp:posOffset>948182</wp:posOffset>
            </wp:positionH>
            <wp:positionV relativeFrom="paragraph">
              <wp:posOffset>184531</wp:posOffset>
            </wp:positionV>
            <wp:extent cx="3895598" cy="2600452"/>
            <wp:effectExtent l="12192" t="6096" r="5715" b="2667"/>
            <wp:wrapSquare wrapText="bothSides"/>
            <wp:docPr id="12"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2F6403">
        <w:rPr>
          <w:b/>
        </w:rPr>
        <w:t>Grafikon 10:</w:t>
      </w:r>
      <w:r w:rsidRPr="002F6403">
        <w:t>Tržište rada FBiH 2018. – 2022. g.</w:t>
      </w:r>
    </w:p>
    <w:p w:rsidR="009E4100" w:rsidRPr="002F6403" w:rsidRDefault="009E4100" w:rsidP="009E4100">
      <w:pPr>
        <w:jc w:val="center"/>
        <w:rPr>
          <w:noProof/>
          <w:lang w:eastAsia="bs-Latn-BA"/>
        </w:rPr>
      </w:pPr>
    </w:p>
    <w:p w:rsidR="009E4100" w:rsidRPr="002F6403" w:rsidRDefault="009E4100" w:rsidP="009E4100">
      <w:pPr>
        <w:jc w:val="center"/>
      </w:pPr>
    </w:p>
    <w:p w:rsidR="009E4100" w:rsidRPr="002F6403" w:rsidRDefault="009E4100" w:rsidP="009E4100">
      <w:pPr>
        <w:jc w:val="center"/>
      </w:pPr>
    </w:p>
    <w:p w:rsidR="009E4100" w:rsidRPr="002F6403" w:rsidRDefault="009E4100" w:rsidP="009E4100">
      <w:pPr>
        <w:jc w:val="center"/>
      </w:pPr>
    </w:p>
    <w:p w:rsidR="009E4100" w:rsidRPr="002F6403" w:rsidRDefault="009E4100" w:rsidP="009E4100">
      <w:pPr>
        <w:jc w:val="center"/>
      </w:pPr>
    </w:p>
    <w:p w:rsidR="009E4100" w:rsidRPr="002F6403" w:rsidRDefault="009E4100" w:rsidP="009E4100">
      <w:pPr>
        <w:jc w:val="center"/>
      </w:pPr>
    </w:p>
    <w:p w:rsidR="009E4100" w:rsidRPr="002F6403" w:rsidRDefault="009E4100" w:rsidP="009E4100"/>
    <w:p w:rsidR="009E4100" w:rsidRPr="002F6403" w:rsidRDefault="009E4100" w:rsidP="009E4100"/>
    <w:p w:rsidR="009E4100" w:rsidRPr="002F6403" w:rsidRDefault="009E4100" w:rsidP="009E4100"/>
    <w:p w:rsidR="009E4100" w:rsidRPr="002F6403" w:rsidRDefault="009E4100" w:rsidP="009E4100"/>
    <w:p w:rsidR="009E4100" w:rsidRPr="002F6403" w:rsidRDefault="009E4100" w:rsidP="009E4100"/>
    <w:p w:rsidR="009E4100" w:rsidRPr="002F6403" w:rsidRDefault="009E4100" w:rsidP="009E4100"/>
    <w:p w:rsidR="009E4100" w:rsidRPr="002F6403" w:rsidRDefault="009E4100" w:rsidP="009E4100"/>
    <w:p w:rsidR="009E4100" w:rsidRDefault="009E4100" w:rsidP="009E4100"/>
    <w:p w:rsidR="009E4100" w:rsidRPr="002F6403" w:rsidRDefault="009E4100" w:rsidP="009E4100"/>
    <w:p w:rsidR="009E4100" w:rsidRPr="002F6403" w:rsidRDefault="009E4100" w:rsidP="009E4100"/>
    <w:p w:rsidR="009E4100" w:rsidRPr="002F6403" w:rsidRDefault="009E4100" w:rsidP="009E4100">
      <w:pPr>
        <w:rPr>
          <w:sz w:val="20"/>
          <w:szCs w:val="20"/>
        </w:rPr>
      </w:pPr>
      <w:r>
        <w:rPr>
          <w:sz w:val="20"/>
          <w:szCs w:val="20"/>
        </w:rPr>
        <w:t xml:space="preserve">                                                                        </w:t>
      </w:r>
      <w:r w:rsidRPr="002F6403">
        <w:rPr>
          <w:sz w:val="20"/>
          <w:szCs w:val="20"/>
        </w:rPr>
        <w:t>Izvor: FZS, obrada FMF</w:t>
      </w:r>
    </w:p>
    <w:p w:rsidR="009E4100" w:rsidRPr="002F6403" w:rsidRDefault="009E4100" w:rsidP="009E4100"/>
    <w:p w:rsidR="009E4100" w:rsidRDefault="009E4100" w:rsidP="009E4100">
      <w:pPr>
        <w:ind w:firstLine="709"/>
        <w:jc w:val="both"/>
        <w:rPr>
          <w:noProof/>
          <w:lang w:eastAsia="bs-Latn-BA"/>
        </w:rPr>
      </w:pPr>
      <w:r w:rsidRPr="002F6403">
        <w:rPr>
          <w:noProof/>
          <w:lang w:eastAsia="bs-Latn-BA"/>
        </w:rPr>
        <w:lastRenderedPageBreak/>
        <w:t xml:space="preserve">Daljnja analiza tržišta rada u segmentu </w:t>
      </w:r>
      <w:r w:rsidRPr="002F6403">
        <w:rPr>
          <w:b/>
          <w:noProof/>
          <w:lang w:eastAsia="bs-Latn-BA"/>
        </w:rPr>
        <w:t>plata</w:t>
      </w:r>
      <w:r w:rsidRPr="002F6403">
        <w:rPr>
          <w:noProof/>
          <w:lang w:eastAsia="bs-Latn-BA"/>
        </w:rPr>
        <w:t xml:space="preserve"> otkriva veliki jaz između stopa nominalnog i realnog rasta neto plata. Razlog za ovakav nesklad leži u činjenici da rast realnih stopa neto plata nije pratio rast stopa inflacije. U nastavku izvještaja dat je grafički prikaz bruto i neto plata u apsloutnim vrijednostima za period 2019.- 2022. g., te stopa nominalnog i realnog rasta neto -  plata za period 2019. - 2022. g.</w:t>
      </w:r>
      <w:r w:rsidRPr="002F6403">
        <w:rPr>
          <w:rStyle w:val="FootnoteReference"/>
          <w:noProof/>
          <w:lang w:eastAsia="bs-Latn-BA"/>
        </w:rPr>
        <w:footnoteReference w:id="12"/>
      </w:r>
    </w:p>
    <w:p w:rsidR="009E4100" w:rsidRPr="002F6403" w:rsidRDefault="009E4100" w:rsidP="009E4100">
      <w:pPr>
        <w:ind w:firstLine="709"/>
        <w:jc w:val="both"/>
        <w:rPr>
          <w:noProof/>
          <w:lang w:eastAsia="bs-Latn-BA"/>
        </w:rPr>
      </w:pPr>
    </w:p>
    <w:p w:rsidR="009E4100" w:rsidRPr="002F6403" w:rsidRDefault="009E4100" w:rsidP="009E4100">
      <w:pPr>
        <w:rPr>
          <w:noProof/>
          <w:lang w:eastAsia="bs-Latn-BA"/>
        </w:rPr>
      </w:pPr>
      <w:r w:rsidRPr="002F6403">
        <w:rPr>
          <w:b/>
        </w:rPr>
        <w:t>Grafikon 11:</w:t>
      </w:r>
      <w:r w:rsidRPr="002F6403">
        <w:rPr>
          <w:noProof/>
          <w:lang w:eastAsia="bs-Latn-BA"/>
        </w:rPr>
        <w:t xml:space="preserve"> Bruto i neto plate u FBiH ;</w:t>
      </w:r>
      <w:r w:rsidR="00D21F0A">
        <w:rPr>
          <w:noProof/>
          <w:lang w:eastAsia="bs-Latn-BA"/>
        </w:rPr>
        <w:t xml:space="preserve"> </w:t>
      </w:r>
      <w:r w:rsidRPr="002F6403">
        <w:rPr>
          <w:b/>
        </w:rPr>
        <w:t>Grafikon 12:</w:t>
      </w:r>
      <w:r w:rsidRPr="002F6403">
        <w:rPr>
          <w:noProof/>
          <w:lang w:eastAsia="bs-Latn-BA"/>
        </w:rPr>
        <w:t xml:space="preserve"> Stope nominalnog i realnog </w:t>
      </w:r>
    </w:p>
    <w:p w:rsidR="009E4100" w:rsidRPr="002F6403" w:rsidRDefault="009E4100" w:rsidP="009E4100">
      <w:pPr>
        <w:rPr>
          <w:noProof/>
          <w:lang w:eastAsia="bs-Latn-BA"/>
        </w:rPr>
      </w:pPr>
      <w:r w:rsidRPr="002F6403">
        <w:rPr>
          <w:noProof/>
          <w:lang w:eastAsia="bs-Latn-BA"/>
        </w:rPr>
        <w:t xml:space="preserve"> 2019. – 2022. </w:t>
      </w:r>
      <w:r w:rsidR="007B7FBF">
        <w:rPr>
          <w:noProof/>
          <w:lang w:eastAsia="bs-Latn-BA"/>
        </w:rPr>
        <w:t>g.</w:t>
      </w:r>
      <w:r w:rsidRPr="002F6403">
        <w:rPr>
          <w:noProof/>
          <w:lang w:eastAsia="bs-Latn-BA"/>
        </w:rPr>
        <w:t xml:space="preserve">                                        </w:t>
      </w:r>
      <w:r w:rsidR="00D21F0A">
        <w:rPr>
          <w:noProof/>
          <w:lang w:eastAsia="bs-Latn-BA"/>
        </w:rPr>
        <w:t xml:space="preserve"> </w:t>
      </w:r>
      <w:r w:rsidRPr="002F6403">
        <w:rPr>
          <w:noProof/>
          <w:lang w:eastAsia="bs-Latn-BA"/>
        </w:rPr>
        <w:t>rasta neto plata u FBiH ; 2019. – 2022. g.</w:t>
      </w:r>
    </w:p>
    <w:p w:rsidR="009E4100" w:rsidRPr="002F6403" w:rsidRDefault="009E4100" w:rsidP="009E4100">
      <w:pPr>
        <w:rPr>
          <w:rStyle w:val="Heading1Char"/>
        </w:rPr>
      </w:pPr>
      <w:r>
        <w:rPr>
          <w:noProof/>
          <w:lang w:val="hr-HR" w:eastAsia="hr-HR"/>
        </w:rPr>
        <w:drawing>
          <wp:inline distT="0" distB="0" distL="0" distR="0">
            <wp:extent cx="2454910" cy="2747010"/>
            <wp:effectExtent l="19050" t="0" r="21590" b="0"/>
            <wp:docPr id="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val="hr-HR" w:eastAsia="hr-HR"/>
        </w:rPr>
        <w:drawing>
          <wp:inline distT="0" distB="0" distL="0" distR="0">
            <wp:extent cx="2369185" cy="2747010"/>
            <wp:effectExtent l="19050" t="0" r="12065" b="0"/>
            <wp:docPr id="1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4100" w:rsidRPr="002F6403" w:rsidRDefault="009E4100" w:rsidP="009E4100">
      <w:pPr>
        <w:jc w:val="center"/>
        <w:rPr>
          <w:sz w:val="20"/>
          <w:szCs w:val="20"/>
        </w:rPr>
      </w:pPr>
      <w:r w:rsidRPr="002F6403">
        <w:rPr>
          <w:sz w:val="20"/>
          <w:szCs w:val="20"/>
        </w:rPr>
        <w:t>Izvor: FZS, obrada FMF</w:t>
      </w:r>
    </w:p>
    <w:p w:rsidR="009E4100" w:rsidRPr="002F6403" w:rsidRDefault="009E4100" w:rsidP="009E4100">
      <w:pPr>
        <w:jc w:val="center"/>
        <w:rPr>
          <w:sz w:val="20"/>
          <w:szCs w:val="20"/>
        </w:rPr>
      </w:pPr>
    </w:p>
    <w:p w:rsidR="009E4100" w:rsidRPr="002F6403" w:rsidRDefault="009E4100" w:rsidP="009E4100">
      <w:pPr>
        <w:ind w:firstLine="709"/>
        <w:jc w:val="both"/>
      </w:pPr>
      <w:r w:rsidRPr="002F6403">
        <w:t>Posljedice geopolitičke krize koja je kulminirala sukobom u Ukrajini odrazile su se na privredni rast zemalja članica EU, a indirektno i na naš region. Budući da su dvije najsnažnije europske ekonomije Njemačka i Italija snažno ovisile o uvozu ruskih energenata, daljnje  usporavanje ekonomske aktivnosti u ovim zemljama teško da je izbježivo. No, obzirom da je riječ o dva najznačajnija vanjskotrgovinska partnera Bosne i Hercegovine, negativne posljedice na privredni rast naše zemlje realno su očekivane. Ipak, kada analiziramo strukturu BDP – a evidentno je da je najznačajnija komponenta BDP – a  finalna potrošnja, a činjenica da je rast bosanskohercegovačke privrede zasnovan uglavnom na ovoj komponenti govori u prilog tome da bi efekti negativnih eksternih događanja u određenoj mjeri trebali biti nešto blaži.</w:t>
      </w:r>
    </w:p>
    <w:p w:rsidR="009E4100" w:rsidRPr="002F6403" w:rsidRDefault="009E4100" w:rsidP="004543A5">
      <w:pPr>
        <w:ind w:firstLine="709"/>
        <w:jc w:val="both"/>
      </w:pPr>
      <w:r w:rsidRPr="002F6403">
        <w:t xml:space="preserve">Prema projekcijama Europske banke za obnovu i razvoj iz februara 2023. godine očekivana </w:t>
      </w:r>
      <w:r w:rsidRPr="002F6403">
        <w:rPr>
          <w:b/>
        </w:rPr>
        <w:t>stopa realnog BDP</w:t>
      </w:r>
      <w:r w:rsidRPr="002F6403">
        <w:t xml:space="preserve"> rasta u Bosni i Hercegovini za period 2023/24 iznosi 2% i 3%.</w:t>
      </w:r>
      <w:r w:rsidRPr="002F6403">
        <w:rPr>
          <w:rStyle w:val="FootnoteReference"/>
        </w:rPr>
        <w:footnoteReference w:id="13"/>
      </w:r>
      <w:r w:rsidRPr="002F6403">
        <w:t xml:space="preserve"> Nešto optimističnije projekcije stopa rasta realnog BDP prezentirala je Svjetska banka - projicirani rast u 2023. g. iznosi 2,5%, u  2024. godini 3%, te u 2025 3,5%.</w:t>
      </w:r>
      <w:r w:rsidRPr="002F6403">
        <w:rPr>
          <w:rStyle w:val="FootnoteReference"/>
        </w:rPr>
        <w:footnoteReference w:id="14"/>
      </w:r>
      <w:r w:rsidRPr="002F6403">
        <w:t xml:space="preserve"> U nastavku izvještaja ispod teksta tabelarno su predstavljene projekcije najznačajnijih makroekonomskih indikatora za period 2023. – 2026. g.</w:t>
      </w:r>
    </w:p>
    <w:p w:rsidR="009E4100" w:rsidRPr="002F6403" w:rsidRDefault="009E4100" w:rsidP="009E4100">
      <w:pPr>
        <w:jc w:val="both"/>
      </w:pPr>
    </w:p>
    <w:p w:rsidR="009E4100" w:rsidRPr="002F6403" w:rsidRDefault="009E4100" w:rsidP="009E4100">
      <w:pPr>
        <w:jc w:val="both"/>
      </w:pPr>
      <w:r w:rsidRPr="002F6403">
        <w:lastRenderedPageBreak/>
        <w:t>Tabela: 4: Projekcije najznačajnijih makrekonomskih indikatora BiH  za period 2023. – 2026.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338"/>
        <w:gridCol w:w="1591"/>
        <w:gridCol w:w="1360"/>
        <w:gridCol w:w="1690"/>
      </w:tblGrid>
      <w:tr w:rsidR="009E4100" w:rsidRPr="002F6403" w:rsidTr="00D21F0A">
        <w:trPr>
          <w:trHeight w:val="269"/>
        </w:trPr>
        <w:tc>
          <w:tcPr>
            <w:tcW w:w="2689" w:type="dxa"/>
          </w:tcPr>
          <w:p w:rsidR="009E4100" w:rsidRPr="002F6403" w:rsidRDefault="009E4100" w:rsidP="00B67F32">
            <w:pPr>
              <w:spacing w:before="120" w:after="60"/>
              <w:jc w:val="both"/>
            </w:pPr>
            <w:r w:rsidRPr="002F6403">
              <w:t>Indikator</w:t>
            </w:r>
          </w:p>
        </w:tc>
        <w:tc>
          <w:tcPr>
            <w:tcW w:w="1417" w:type="dxa"/>
          </w:tcPr>
          <w:p w:rsidR="009E4100" w:rsidRPr="002F6403" w:rsidRDefault="009E4100" w:rsidP="00B67F32">
            <w:pPr>
              <w:spacing w:before="120" w:after="60"/>
              <w:jc w:val="center"/>
            </w:pPr>
            <w:r w:rsidRPr="002F6403">
              <w:t>2023</w:t>
            </w:r>
          </w:p>
        </w:tc>
        <w:tc>
          <w:tcPr>
            <w:tcW w:w="1701" w:type="dxa"/>
          </w:tcPr>
          <w:p w:rsidR="009E4100" w:rsidRPr="002F6403" w:rsidRDefault="009E4100" w:rsidP="00B67F32">
            <w:pPr>
              <w:spacing w:before="120" w:after="60"/>
              <w:jc w:val="center"/>
            </w:pPr>
            <w:r w:rsidRPr="002F6403">
              <w:t>2024</w:t>
            </w:r>
          </w:p>
        </w:tc>
        <w:tc>
          <w:tcPr>
            <w:tcW w:w="1442" w:type="dxa"/>
          </w:tcPr>
          <w:p w:rsidR="009E4100" w:rsidRPr="002F6403" w:rsidRDefault="009E4100" w:rsidP="00B67F32">
            <w:pPr>
              <w:spacing w:before="120" w:after="60"/>
              <w:jc w:val="center"/>
            </w:pPr>
            <w:r w:rsidRPr="002F6403">
              <w:t>2025</w:t>
            </w:r>
          </w:p>
        </w:tc>
        <w:tc>
          <w:tcPr>
            <w:tcW w:w="1813" w:type="dxa"/>
          </w:tcPr>
          <w:p w:rsidR="009E4100" w:rsidRPr="002F6403" w:rsidRDefault="009E4100" w:rsidP="00B67F32">
            <w:pPr>
              <w:spacing w:before="120" w:after="60"/>
              <w:jc w:val="center"/>
            </w:pPr>
            <w:r w:rsidRPr="002F6403">
              <w:t>2026</w:t>
            </w:r>
          </w:p>
        </w:tc>
      </w:tr>
      <w:tr w:rsidR="009E4100" w:rsidRPr="002F6403" w:rsidTr="00D21F0A">
        <w:trPr>
          <w:trHeight w:val="253"/>
        </w:trPr>
        <w:tc>
          <w:tcPr>
            <w:tcW w:w="2689" w:type="dxa"/>
          </w:tcPr>
          <w:p w:rsidR="009E4100" w:rsidRPr="002F6403" w:rsidRDefault="009E4100" w:rsidP="00B67F32">
            <w:pPr>
              <w:spacing w:before="120" w:after="60"/>
              <w:jc w:val="both"/>
              <w:rPr>
                <w:sz w:val="20"/>
                <w:szCs w:val="20"/>
              </w:rPr>
            </w:pPr>
            <w:r w:rsidRPr="002F6403">
              <w:rPr>
                <w:sz w:val="20"/>
                <w:szCs w:val="20"/>
              </w:rPr>
              <w:t>Realni rast BDP – a %</w:t>
            </w:r>
          </w:p>
        </w:tc>
        <w:tc>
          <w:tcPr>
            <w:tcW w:w="1417" w:type="dxa"/>
          </w:tcPr>
          <w:p w:rsidR="009E4100" w:rsidRPr="002F6403" w:rsidRDefault="009E4100" w:rsidP="00B67F32">
            <w:pPr>
              <w:spacing w:before="120" w:after="60"/>
              <w:jc w:val="center"/>
              <w:rPr>
                <w:sz w:val="20"/>
                <w:szCs w:val="20"/>
              </w:rPr>
            </w:pPr>
            <w:r w:rsidRPr="002F6403">
              <w:rPr>
                <w:sz w:val="20"/>
                <w:szCs w:val="20"/>
              </w:rPr>
              <w:t>2</w:t>
            </w:r>
          </w:p>
        </w:tc>
        <w:tc>
          <w:tcPr>
            <w:tcW w:w="1701" w:type="dxa"/>
          </w:tcPr>
          <w:p w:rsidR="009E4100" w:rsidRPr="002F6403" w:rsidRDefault="009E4100" w:rsidP="00B67F32">
            <w:pPr>
              <w:spacing w:before="120" w:after="60"/>
              <w:jc w:val="center"/>
              <w:rPr>
                <w:sz w:val="20"/>
                <w:szCs w:val="20"/>
              </w:rPr>
            </w:pPr>
            <w:r w:rsidRPr="002F6403">
              <w:rPr>
                <w:sz w:val="20"/>
                <w:szCs w:val="20"/>
              </w:rPr>
              <w:t>2,7</w:t>
            </w:r>
          </w:p>
        </w:tc>
        <w:tc>
          <w:tcPr>
            <w:tcW w:w="1442" w:type="dxa"/>
          </w:tcPr>
          <w:p w:rsidR="009E4100" w:rsidRPr="002F6403" w:rsidRDefault="009E4100" w:rsidP="00B67F32">
            <w:pPr>
              <w:spacing w:before="120" w:after="60"/>
              <w:jc w:val="center"/>
              <w:rPr>
                <w:sz w:val="20"/>
                <w:szCs w:val="20"/>
              </w:rPr>
            </w:pPr>
            <w:r w:rsidRPr="002F6403">
              <w:rPr>
                <w:sz w:val="20"/>
                <w:szCs w:val="20"/>
              </w:rPr>
              <w:t>3</w:t>
            </w:r>
          </w:p>
        </w:tc>
        <w:tc>
          <w:tcPr>
            <w:tcW w:w="1813" w:type="dxa"/>
          </w:tcPr>
          <w:p w:rsidR="009E4100" w:rsidRPr="002F6403" w:rsidRDefault="009E4100" w:rsidP="00B67F32">
            <w:pPr>
              <w:spacing w:before="120" w:after="60"/>
              <w:jc w:val="center"/>
              <w:rPr>
                <w:sz w:val="20"/>
                <w:szCs w:val="20"/>
              </w:rPr>
            </w:pPr>
            <w:r w:rsidRPr="002F6403">
              <w:rPr>
                <w:sz w:val="20"/>
                <w:szCs w:val="20"/>
              </w:rPr>
              <w:t>3,3</w:t>
            </w:r>
          </w:p>
        </w:tc>
      </w:tr>
      <w:tr w:rsidR="009E4100" w:rsidRPr="002F6403" w:rsidTr="00D21F0A">
        <w:trPr>
          <w:trHeight w:val="539"/>
        </w:trPr>
        <w:tc>
          <w:tcPr>
            <w:tcW w:w="2689" w:type="dxa"/>
          </w:tcPr>
          <w:p w:rsidR="009E4100" w:rsidRPr="002F6403" w:rsidRDefault="009E4100" w:rsidP="00B67F32">
            <w:pPr>
              <w:spacing w:before="120" w:after="60"/>
              <w:rPr>
                <w:sz w:val="20"/>
                <w:szCs w:val="20"/>
              </w:rPr>
            </w:pPr>
            <w:r w:rsidRPr="002F6403">
              <w:rPr>
                <w:sz w:val="20"/>
                <w:szCs w:val="20"/>
              </w:rPr>
              <w:t>Inflacija mjerena indeksnom potrošačkih cijena u %</w:t>
            </w:r>
          </w:p>
        </w:tc>
        <w:tc>
          <w:tcPr>
            <w:tcW w:w="1417" w:type="dxa"/>
          </w:tcPr>
          <w:p w:rsidR="009E4100" w:rsidRPr="002F6403" w:rsidRDefault="009E4100" w:rsidP="00B67F32">
            <w:pPr>
              <w:spacing w:before="120" w:after="60"/>
              <w:jc w:val="center"/>
              <w:rPr>
                <w:sz w:val="20"/>
                <w:szCs w:val="20"/>
              </w:rPr>
            </w:pPr>
            <w:r w:rsidRPr="002F6403">
              <w:rPr>
                <w:sz w:val="20"/>
                <w:szCs w:val="20"/>
              </w:rPr>
              <w:t>6,1</w:t>
            </w:r>
          </w:p>
        </w:tc>
        <w:tc>
          <w:tcPr>
            <w:tcW w:w="1701" w:type="dxa"/>
          </w:tcPr>
          <w:p w:rsidR="009E4100" w:rsidRPr="002F6403" w:rsidRDefault="009E4100" w:rsidP="00B67F32">
            <w:pPr>
              <w:spacing w:before="120" w:after="60"/>
              <w:jc w:val="center"/>
              <w:rPr>
                <w:sz w:val="20"/>
                <w:szCs w:val="20"/>
              </w:rPr>
            </w:pPr>
            <w:r w:rsidRPr="002F6403">
              <w:rPr>
                <w:sz w:val="20"/>
                <w:szCs w:val="20"/>
              </w:rPr>
              <w:t>3,1</w:t>
            </w:r>
          </w:p>
        </w:tc>
        <w:tc>
          <w:tcPr>
            <w:tcW w:w="1442" w:type="dxa"/>
          </w:tcPr>
          <w:p w:rsidR="009E4100" w:rsidRPr="002F6403" w:rsidRDefault="009E4100" w:rsidP="00B67F32">
            <w:pPr>
              <w:spacing w:before="120" w:after="60"/>
              <w:jc w:val="center"/>
              <w:rPr>
                <w:sz w:val="20"/>
                <w:szCs w:val="20"/>
              </w:rPr>
            </w:pPr>
            <w:r w:rsidRPr="002F6403">
              <w:rPr>
                <w:sz w:val="20"/>
                <w:szCs w:val="20"/>
              </w:rPr>
              <w:t>2,2</w:t>
            </w:r>
          </w:p>
        </w:tc>
        <w:tc>
          <w:tcPr>
            <w:tcW w:w="1813" w:type="dxa"/>
          </w:tcPr>
          <w:p w:rsidR="009E4100" w:rsidRPr="002F6403" w:rsidRDefault="009E4100" w:rsidP="00B67F32">
            <w:pPr>
              <w:spacing w:before="120" w:after="60"/>
              <w:jc w:val="center"/>
              <w:rPr>
                <w:sz w:val="20"/>
                <w:szCs w:val="20"/>
              </w:rPr>
            </w:pPr>
            <w:r w:rsidRPr="002F6403">
              <w:rPr>
                <w:sz w:val="20"/>
                <w:szCs w:val="20"/>
              </w:rPr>
              <w:t>1,9</w:t>
            </w:r>
          </w:p>
        </w:tc>
      </w:tr>
      <w:tr w:rsidR="009E4100" w:rsidRPr="002F6403" w:rsidTr="00D21F0A">
        <w:trPr>
          <w:trHeight w:val="286"/>
        </w:trPr>
        <w:tc>
          <w:tcPr>
            <w:tcW w:w="2689" w:type="dxa"/>
          </w:tcPr>
          <w:p w:rsidR="009E4100" w:rsidRPr="002F6403" w:rsidRDefault="009E4100" w:rsidP="00B67F32">
            <w:pPr>
              <w:spacing w:before="120" w:after="60"/>
              <w:jc w:val="both"/>
              <w:rPr>
                <w:sz w:val="20"/>
                <w:szCs w:val="20"/>
              </w:rPr>
            </w:pPr>
            <w:r w:rsidRPr="002F6403">
              <w:rPr>
                <w:sz w:val="20"/>
                <w:szCs w:val="20"/>
              </w:rPr>
              <w:t>Realni rast uvoza u %</w:t>
            </w:r>
          </w:p>
        </w:tc>
        <w:tc>
          <w:tcPr>
            <w:tcW w:w="1417" w:type="dxa"/>
          </w:tcPr>
          <w:p w:rsidR="009E4100" w:rsidRPr="002F6403" w:rsidRDefault="009E4100" w:rsidP="00B67F32">
            <w:pPr>
              <w:spacing w:before="120" w:after="60"/>
              <w:jc w:val="center"/>
              <w:rPr>
                <w:sz w:val="20"/>
                <w:szCs w:val="20"/>
              </w:rPr>
            </w:pPr>
            <w:r w:rsidRPr="002F6403">
              <w:rPr>
                <w:sz w:val="20"/>
                <w:szCs w:val="20"/>
              </w:rPr>
              <w:t>4,7</w:t>
            </w:r>
          </w:p>
        </w:tc>
        <w:tc>
          <w:tcPr>
            <w:tcW w:w="1701" w:type="dxa"/>
          </w:tcPr>
          <w:p w:rsidR="009E4100" w:rsidRPr="002F6403" w:rsidRDefault="009E4100" w:rsidP="00B67F32">
            <w:pPr>
              <w:spacing w:before="120" w:after="60"/>
              <w:jc w:val="center"/>
              <w:rPr>
                <w:sz w:val="20"/>
                <w:szCs w:val="20"/>
              </w:rPr>
            </w:pPr>
            <w:r w:rsidRPr="002F6403">
              <w:rPr>
                <w:sz w:val="20"/>
                <w:szCs w:val="20"/>
              </w:rPr>
              <w:t>5,7</w:t>
            </w:r>
          </w:p>
        </w:tc>
        <w:tc>
          <w:tcPr>
            <w:tcW w:w="1442" w:type="dxa"/>
          </w:tcPr>
          <w:p w:rsidR="009E4100" w:rsidRPr="002F6403" w:rsidRDefault="009E4100" w:rsidP="00B67F32">
            <w:pPr>
              <w:spacing w:before="120" w:after="60"/>
              <w:jc w:val="center"/>
              <w:rPr>
                <w:sz w:val="20"/>
                <w:szCs w:val="20"/>
              </w:rPr>
            </w:pPr>
            <w:r w:rsidRPr="002F6403">
              <w:rPr>
                <w:sz w:val="20"/>
                <w:szCs w:val="20"/>
              </w:rPr>
              <w:t>5,7</w:t>
            </w:r>
          </w:p>
        </w:tc>
        <w:tc>
          <w:tcPr>
            <w:tcW w:w="1813" w:type="dxa"/>
          </w:tcPr>
          <w:p w:rsidR="009E4100" w:rsidRPr="002F6403" w:rsidRDefault="009E4100" w:rsidP="00B67F32">
            <w:pPr>
              <w:spacing w:before="120" w:after="60"/>
              <w:jc w:val="center"/>
              <w:rPr>
                <w:sz w:val="20"/>
                <w:szCs w:val="20"/>
              </w:rPr>
            </w:pPr>
            <w:r w:rsidRPr="002F6403">
              <w:rPr>
                <w:sz w:val="20"/>
                <w:szCs w:val="20"/>
              </w:rPr>
              <w:t>5,9</w:t>
            </w:r>
          </w:p>
        </w:tc>
      </w:tr>
      <w:tr w:rsidR="009E4100" w:rsidRPr="002F6403" w:rsidTr="00D21F0A">
        <w:trPr>
          <w:trHeight w:val="269"/>
        </w:trPr>
        <w:tc>
          <w:tcPr>
            <w:tcW w:w="2689" w:type="dxa"/>
          </w:tcPr>
          <w:p w:rsidR="009E4100" w:rsidRPr="002F6403" w:rsidRDefault="009E4100" w:rsidP="00B67F32">
            <w:pPr>
              <w:spacing w:before="120" w:after="60"/>
              <w:jc w:val="both"/>
              <w:rPr>
                <w:sz w:val="20"/>
                <w:szCs w:val="20"/>
              </w:rPr>
            </w:pPr>
            <w:r w:rsidRPr="002F6403">
              <w:rPr>
                <w:sz w:val="20"/>
                <w:szCs w:val="20"/>
              </w:rPr>
              <w:t>Realni rast izvoza u %</w:t>
            </w:r>
          </w:p>
        </w:tc>
        <w:tc>
          <w:tcPr>
            <w:tcW w:w="1417" w:type="dxa"/>
          </w:tcPr>
          <w:p w:rsidR="009E4100" w:rsidRPr="002F6403" w:rsidRDefault="009E4100" w:rsidP="00B67F32">
            <w:pPr>
              <w:spacing w:before="120" w:after="60"/>
              <w:jc w:val="center"/>
              <w:rPr>
                <w:sz w:val="20"/>
                <w:szCs w:val="20"/>
              </w:rPr>
            </w:pPr>
            <w:r w:rsidRPr="002F6403">
              <w:rPr>
                <w:sz w:val="20"/>
                <w:szCs w:val="20"/>
              </w:rPr>
              <w:t>6,6</w:t>
            </w:r>
          </w:p>
        </w:tc>
        <w:tc>
          <w:tcPr>
            <w:tcW w:w="1701" w:type="dxa"/>
          </w:tcPr>
          <w:p w:rsidR="009E4100" w:rsidRPr="002F6403" w:rsidRDefault="009E4100" w:rsidP="00B67F32">
            <w:pPr>
              <w:spacing w:before="120" w:after="60"/>
              <w:jc w:val="center"/>
              <w:rPr>
                <w:sz w:val="20"/>
                <w:szCs w:val="20"/>
              </w:rPr>
            </w:pPr>
            <w:r w:rsidRPr="002F6403">
              <w:rPr>
                <w:sz w:val="20"/>
                <w:szCs w:val="20"/>
              </w:rPr>
              <w:t>8,3</w:t>
            </w:r>
          </w:p>
        </w:tc>
        <w:tc>
          <w:tcPr>
            <w:tcW w:w="1442" w:type="dxa"/>
          </w:tcPr>
          <w:p w:rsidR="009E4100" w:rsidRPr="002F6403" w:rsidRDefault="009E4100" w:rsidP="00B67F32">
            <w:pPr>
              <w:spacing w:before="120" w:after="60"/>
              <w:jc w:val="center"/>
              <w:rPr>
                <w:sz w:val="20"/>
                <w:szCs w:val="20"/>
              </w:rPr>
            </w:pPr>
            <w:r w:rsidRPr="002F6403">
              <w:rPr>
                <w:sz w:val="20"/>
                <w:szCs w:val="20"/>
              </w:rPr>
              <w:t>8,5</w:t>
            </w:r>
          </w:p>
        </w:tc>
        <w:tc>
          <w:tcPr>
            <w:tcW w:w="1813" w:type="dxa"/>
          </w:tcPr>
          <w:p w:rsidR="009E4100" w:rsidRPr="002F6403" w:rsidRDefault="009E4100" w:rsidP="00B67F32">
            <w:pPr>
              <w:spacing w:before="120" w:after="60"/>
              <w:jc w:val="center"/>
              <w:rPr>
                <w:sz w:val="20"/>
                <w:szCs w:val="20"/>
              </w:rPr>
            </w:pPr>
            <w:r w:rsidRPr="002F6403">
              <w:rPr>
                <w:sz w:val="20"/>
                <w:szCs w:val="20"/>
              </w:rPr>
              <w:t>8,1</w:t>
            </w:r>
          </w:p>
        </w:tc>
      </w:tr>
    </w:tbl>
    <w:p w:rsidR="009E4100" w:rsidRDefault="009E4100" w:rsidP="009E4100">
      <w:pPr>
        <w:jc w:val="center"/>
        <w:rPr>
          <w:sz w:val="20"/>
          <w:szCs w:val="20"/>
        </w:rPr>
      </w:pPr>
      <w:r w:rsidRPr="002F6403">
        <w:rPr>
          <w:sz w:val="20"/>
          <w:szCs w:val="20"/>
        </w:rPr>
        <w:t>Izvor. DEP mart 2023, obrada FMF</w:t>
      </w:r>
    </w:p>
    <w:p w:rsidR="00D21F0A" w:rsidRPr="002F6403" w:rsidRDefault="00D21F0A" w:rsidP="009E4100">
      <w:pPr>
        <w:jc w:val="center"/>
        <w:rPr>
          <w:sz w:val="20"/>
          <w:szCs w:val="20"/>
        </w:rPr>
      </w:pPr>
    </w:p>
    <w:p w:rsidR="009E4100" w:rsidRPr="002F6403" w:rsidRDefault="009E4100" w:rsidP="009E4100">
      <w:pPr>
        <w:jc w:val="both"/>
      </w:pPr>
      <w:r w:rsidRPr="002F6403">
        <w:t xml:space="preserve">Kako je energija daleko najsnažniji pokretač inflacije daljnje kretanje cijena najviše će ovisiti o razvoju situacije vezane za rat u Ukrajini, te od sposobnosti EU da realizuje svoje planove vezane za prelazak na upotrebu obnovljivih izvora energije (energija vjetra, solarna energija, hidroenergija, energija oceana, geotermalna energija, biomasa i biogoriva). </w:t>
      </w:r>
    </w:p>
    <w:p w:rsidR="009E4100" w:rsidRPr="002F6403" w:rsidRDefault="009E4100" w:rsidP="009E4100">
      <w:pPr>
        <w:jc w:val="both"/>
      </w:pPr>
      <w:r w:rsidRPr="002F6403">
        <w:t>U 2023. godini očekuju se niže cijene energenata, a to bi utjecalo na smanjenje proizvodnih troškova i u konačnici dovelo do pada potrošačkih cijena. Uz pretpostavku stabilnih cijena komunalija u 2023. godini u Bosni i Hercegovini može se očekivati usporavanje inflacije u odnosu na prethodnu godinu od 6,1% g/g.</w:t>
      </w:r>
      <w:r w:rsidRPr="002F6403">
        <w:rPr>
          <w:rStyle w:val="FootnoteReference"/>
        </w:rPr>
        <w:footnoteReference w:id="15"/>
      </w:r>
      <w:r w:rsidRPr="002F6403">
        <w:t xml:space="preserve"> Prama izvještaju Svjetske banke</w:t>
      </w:r>
      <w:r w:rsidRPr="002F6403">
        <w:rPr>
          <w:rStyle w:val="FootnoteReference"/>
        </w:rPr>
        <w:footnoteReference w:id="16"/>
      </w:r>
      <w:r w:rsidRPr="002F6403">
        <w:t xml:space="preserve"> očekirana prosječna stopa inflacije za period 2023. – 2025. g. iznosi 3%; (2023 5%, 2024 2,1%,te 2025 1,9%), pod pretpostavkom smirivanja eksternih i internih faktora. </w:t>
      </w:r>
    </w:p>
    <w:p w:rsidR="009E4100" w:rsidRPr="002F6403" w:rsidRDefault="009E4100" w:rsidP="009E4100"/>
    <w:p w:rsidR="009E4100" w:rsidRPr="002F6403" w:rsidRDefault="009E4100" w:rsidP="009E4100">
      <w:pPr>
        <w:ind w:firstLine="709"/>
        <w:jc w:val="both"/>
        <w:rPr>
          <w:lang w:val="hr-BA"/>
        </w:rPr>
      </w:pPr>
      <w:r w:rsidRPr="002F6403">
        <w:t xml:space="preserve">Projekcije indikatora za naredni srednjoročni period su sačinjene na osnovu projekcija </w:t>
      </w:r>
      <w:r w:rsidRPr="002F6403">
        <w:rPr>
          <w:lang w:val="hr-BA"/>
        </w:rPr>
        <w:t xml:space="preserve">Direkcije za ekonomsko planiranje pri Vijeću ministara BiH iz marta 2023. godine i projekcija </w:t>
      </w:r>
      <w:r w:rsidRPr="002F6403">
        <w:t xml:space="preserve">relevantnih </w:t>
      </w:r>
      <w:r w:rsidRPr="002F6403">
        <w:rPr>
          <w:lang w:val="hr-BA"/>
        </w:rPr>
        <w:t xml:space="preserve">međunarodnih institucija (MMF-a i Svjetske banke iz aprila, Europske komisije iz februara 2023. god.) </w:t>
      </w:r>
    </w:p>
    <w:p w:rsidR="009E4100" w:rsidRDefault="009E4100" w:rsidP="009E4100">
      <w:pPr>
        <w:jc w:val="both"/>
        <w:rPr>
          <w:lang w:val="hr-BA"/>
        </w:rPr>
      </w:pPr>
      <w:r w:rsidRPr="002F6403">
        <w:rPr>
          <w:lang w:val="hr-BA"/>
        </w:rPr>
        <w:t>U nastavku teksta je tabelarni prikaz nominalnog i realnog BDP-a FBiH i stopa rasta istih za razdoblje 2022. – 2026. god.</w:t>
      </w:r>
    </w:p>
    <w:p w:rsidR="009E4100" w:rsidRDefault="009E4100" w:rsidP="009E4100">
      <w:pPr>
        <w:jc w:val="both"/>
        <w:rPr>
          <w:lang w:val="hr-BA"/>
        </w:rPr>
      </w:pPr>
    </w:p>
    <w:p w:rsidR="009E4100" w:rsidRPr="002F6403" w:rsidRDefault="009E4100" w:rsidP="009E4100">
      <w:pPr>
        <w:jc w:val="center"/>
        <w:rPr>
          <w:lang w:val="hr-BA"/>
        </w:rPr>
      </w:pPr>
      <w:r w:rsidRPr="002F6403">
        <w:rPr>
          <w:lang w:val="hr-BA"/>
        </w:rPr>
        <w:t>Tabela 5. BDP FBiH; procjena za 2022. g. i projekcije za razdoblje 2023. – 2026. g.</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1406"/>
        <w:gridCol w:w="1406"/>
        <w:gridCol w:w="1406"/>
        <w:gridCol w:w="1407"/>
        <w:gridCol w:w="1408"/>
      </w:tblGrid>
      <w:tr w:rsidR="009E4100" w:rsidRPr="002F6403" w:rsidTr="00D21F0A">
        <w:trPr>
          <w:trHeight w:val="295"/>
        </w:trPr>
        <w:tc>
          <w:tcPr>
            <w:tcW w:w="2556" w:type="dxa"/>
            <w:vMerge w:val="restart"/>
          </w:tcPr>
          <w:p w:rsidR="009E4100" w:rsidRPr="002F6403" w:rsidRDefault="009E4100" w:rsidP="00B67F32">
            <w:pPr>
              <w:spacing w:before="120" w:after="60"/>
              <w:jc w:val="center"/>
              <w:rPr>
                <w:bCs/>
                <w:lang w:eastAsia="bs-Latn-BA"/>
              </w:rPr>
            </w:pPr>
          </w:p>
          <w:p w:rsidR="009E4100" w:rsidRPr="002F6403" w:rsidRDefault="009E4100" w:rsidP="00B67F32">
            <w:pPr>
              <w:spacing w:before="120" w:after="60"/>
              <w:jc w:val="center"/>
              <w:rPr>
                <w:bCs/>
                <w:lang w:eastAsia="bs-Latn-BA"/>
              </w:rPr>
            </w:pPr>
            <w:r w:rsidRPr="002F6403">
              <w:rPr>
                <w:bCs/>
                <w:lang w:eastAsia="bs-Latn-BA"/>
              </w:rPr>
              <w:t>Indikator</w:t>
            </w:r>
          </w:p>
        </w:tc>
        <w:tc>
          <w:tcPr>
            <w:tcW w:w="2812" w:type="dxa"/>
            <w:gridSpan w:val="2"/>
          </w:tcPr>
          <w:p w:rsidR="009E4100" w:rsidRPr="002F6403" w:rsidRDefault="009E4100" w:rsidP="00B67F32">
            <w:pPr>
              <w:tabs>
                <w:tab w:val="left" w:pos="6521"/>
              </w:tabs>
              <w:spacing w:before="120" w:after="60"/>
              <w:jc w:val="center"/>
            </w:pPr>
            <w:r w:rsidRPr="002F6403">
              <w:rPr>
                <w:bCs/>
                <w:lang w:eastAsia="bs-Latn-BA"/>
              </w:rPr>
              <w:t>Procjena</w:t>
            </w:r>
          </w:p>
        </w:tc>
        <w:tc>
          <w:tcPr>
            <w:tcW w:w="4221" w:type="dxa"/>
            <w:gridSpan w:val="3"/>
          </w:tcPr>
          <w:p w:rsidR="009E4100" w:rsidRPr="002F6403" w:rsidRDefault="009E4100" w:rsidP="00B67F32">
            <w:pPr>
              <w:tabs>
                <w:tab w:val="left" w:pos="6521"/>
              </w:tabs>
              <w:spacing w:before="120" w:after="60"/>
              <w:jc w:val="center"/>
            </w:pPr>
            <w:r w:rsidRPr="002F6403">
              <w:t>Projekcije</w:t>
            </w:r>
          </w:p>
        </w:tc>
      </w:tr>
      <w:tr w:rsidR="009E4100" w:rsidRPr="002F6403" w:rsidTr="00D21F0A">
        <w:trPr>
          <w:trHeight w:val="250"/>
        </w:trPr>
        <w:tc>
          <w:tcPr>
            <w:tcW w:w="2556" w:type="dxa"/>
            <w:vMerge/>
          </w:tcPr>
          <w:p w:rsidR="009E4100" w:rsidRPr="002F6403" w:rsidRDefault="009E4100" w:rsidP="00B67F32">
            <w:pPr>
              <w:spacing w:before="120" w:after="60"/>
              <w:jc w:val="center"/>
              <w:rPr>
                <w:b/>
                <w:bCs/>
                <w:lang w:eastAsia="bs-Latn-BA"/>
              </w:rPr>
            </w:pPr>
          </w:p>
        </w:tc>
        <w:tc>
          <w:tcPr>
            <w:tcW w:w="1406" w:type="dxa"/>
          </w:tcPr>
          <w:p w:rsidR="009E4100" w:rsidRPr="002F6403" w:rsidRDefault="009E4100" w:rsidP="00B67F32">
            <w:pPr>
              <w:spacing w:before="120" w:after="60"/>
              <w:jc w:val="center"/>
              <w:rPr>
                <w:bCs/>
                <w:lang w:eastAsia="bs-Latn-BA"/>
              </w:rPr>
            </w:pPr>
            <w:r w:rsidRPr="002F6403">
              <w:rPr>
                <w:bCs/>
                <w:lang w:eastAsia="bs-Latn-BA"/>
              </w:rPr>
              <w:t>2022.</w:t>
            </w:r>
          </w:p>
        </w:tc>
        <w:tc>
          <w:tcPr>
            <w:tcW w:w="1406" w:type="dxa"/>
          </w:tcPr>
          <w:p w:rsidR="009E4100" w:rsidRPr="002F6403" w:rsidRDefault="009E4100" w:rsidP="00B67F32">
            <w:pPr>
              <w:spacing w:before="120" w:after="60"/>
              <w:jc w:val="center"/>
              <w:rPr>
                <w:bCs/>
                <w:lang w:eastAsia="bs-Latn-BA"/>
              </w:rPr>
            </w:pPr>
            <w:r w:rsidRPr="002F6403">
              <w:rPr>
                <w:bCs/>
                <w:lang w:eastAsia="bs-Latn-BA"/>
              </w:rPr>
              <w:t>2023.</w:t>
            </w:r>
          </w:p>
        </w:tc>
        <w:tc>
          <w:tcPr>
            <w:tcW w:w="1406" w:type="dxa"/>
          </w:tcPr>
          <w:p w:rsidR="009E4100" w:rsidRPr="002F6403" w:rsidRDefault="009E4100" w:rsidP="00B67F32">
            <w:pPr>
              <w:spacing w:before="120" w:after="60"/>
              <w:jc w:val="center"/>
              <w:rPr>
                <w:bCs/>
                <w:lang w:eastAsia="bs-Latn-BA"/>
              </w:rPr>
            </w:pPr>
            <w:r w:rsidRPr="002F6403">
              <w:rPr>
                <w:bCs/>
                <w:lang w:eastAsia="bs-Latn-BA"/>
              </w:rPr>
              <w:t>2024.</w:t>
            </w:r>
          </w:p>
        </w:tc>
        <w:tc>
          <w:tcPr>
            <w:tcW w:w="1407" w:type="dxa"/>
          </w:tcPr>
          <w:p w:rsidR="009E4100" w:rsidRPr="002F6403" w:rsidRDefault="009E4100" w:rsidP="00B67F32">
            <w:pPr>
              <w:spacing w:before="120" w:after="60"/>
              <w:jc w:val="center"/>
              <w:rPr>
                <w:bCs/>
                <w:lang w:eastAsia="bs-Latn-BA"/>
              </w:rPr>
            </w:pPr>
            <w:r w:rsidRPr="002F6403">
              <w:rPr>
                <w:bCs/>
                <w:lang w:eastAsia="bs-Latn-BA"/>
              </w:rPr>
              <w:t>2025.</w:t>
            </w:r>
          </w:p>
        </w:tc>
        <w:tc>
          <w:tcPr>
            <w:tcW w:w="1407" w:type="dxa"/>
          </w:tcPr>
          <w:p w:rsidR="009E4100" w:rsidRPr="002F6403" w:rsidRDefault="009E4100" w:rsidP="00B67F32">
            <w:pPr>
              <w:spacing w:before="120" w:after="60"/>
              <w:jc w:val="center"/>
              <w:rPr>
                <w:bCs/>
                <w:lang w:eastAsia="bs-Latn-BA"/>
              </w:rPr>
            </w:pPr>
            <w:r w:rsidRPr="002F6403">
              <w:rPr>
                <w:bCs/>
                <w:lang w:eastAsia="bs-Latn-BA"/>
              </w:rPr>
              <w:t>2026</w:t>
            </w:r>
          </w:p>
        </w:tc>
      </w:tr>
      <w:tr w:rsidR="009E4100" w:rsidRPr="002F6403" w:rsidTr="00D21F0A">
        <w:trPr>
          <w:trHeight w:val="501"/>
        </w:trPr>
        <w:tc>
          <w:tcPr>
            <w:tcW w:w="2556" w:type="dxa"/>
          </w:tcPr>
          <w:p w:rsidR="009E4100" w:rsidRPr="002F6403" w:rsidRDefault="009E4100" w:rsidP="00B67F32">
            <w:pPr>
              <w:spacing w:before="120" w:after="60"/>
              <w:rPr>
                <w:color w:val="000000"/>
                <w:sz w:val="20"/>
                <w:szCs w:val="20"/>
                <w:lang w:eastAsia="bs-Latn-BA"/>
              </w:rPr>
            </w:pPr>
            <w:r w:rsidRPr="002F6403">
              <w:rPr>
                <w:color w:val="000000"/>
                <w:sz w:val="20"/>
                <w:szCs w:val="20"/>
                <w:lang w:eastAsia="bs-Latn-BA"/>
              </w:rPr>
              <w:t>Nominalni BDP u mil. KM</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29.681</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31.689</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33.400</w:t>
            </w:r>
          </w:p>
        </w:tc>
        <w:tc>
          <w:tcPr>
            <w:tcW w:w="1407"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35.365</w:t>
            </w:r>
          </w:p>
        </w:tc>
        <w:tc>
          <w:tcPr>
            <w:tcW w:w="1407"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37.408</w:t>
            </w:r>
          </w:p>
        </w:tc>
      </w:tr>
      <w:tr w:rsidR="009E4100" w:rsidRPr="002F6403" w:rsidTr="00D21F0A">
        <w:trPr>
          <w:trHeight w:val="250"/>
        </w:trPr>
        <w:tc>
          <w:tcPr>
            <w:tcW w:w="2556" w:type="dxa"/>
          </w:tcPr>
          <w:p w:rsidR="009E4100" w:rsidRPr="002F6403" w:rsidRDefault="009E4100" w:rsidP="00B67F32">
            <w:pPr>
              <w:spacing w:before="120" w:after="60"/>
              <w:rPr>
                <w:color w:val="000000"/>
                <w:sz w:val="20"/>
                <w:szCs w:val="20"/>
                <w:lang w:eastAsia="bs-Latn-BA"/>
              </w:rPr>
            </w:pPr>
            <w:r w:rsidRPr="002F6403">
              <w:rPr>
                <w:color w:val="000000"/>
                <w:sz w:val="20"/>
                <w:szCs w:val="20"/>
                <w:lang w:eastAsia="bs-Latn-BA"/>
              </w:rPr>
              <w:t>Nominalni rast u %</w:t>
            </w:r>
          </w:p>
        </w:tc>
        <w:tc>
          <w:tcPr>
            <w:tcW w:w="1406" w:type="dxa"/>
          </w:tcPr>
          <w:p w:rsidR="009E4100" w:rsidRPr="002F6403" w:rsidRDefault="009E4100" w:rsidP="00B67F32">
            <w:pPr>
              <w:spacing w:before="120" w:after="60"/>
              <w:jc w:val="center"/>
              <w:rPr>
                <w:color w:val="000000"/>
                <w:sz w:val="20"/>
                <w:szCs w:val="20"/>
                <w:lang w:eastAsia="bs-Latn-BA"/>
              </w:rPr>
            </w:pPr>
            <w:r w:rsidRPr="002F6403">
              <w:rPr>
                <w:color w:val="000000"/>
                <w:sz w:val="20"/>
                <w:szCs w:val="20"/>
                <w:lang w:eastAsia="bs-Latn-BA"/>
              </w:rPr>
              <w:t>17,6%</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6,8%</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5,4%</w:t>
            </w:r>
          </w:p>
        </w:tc>
        <w:tc>
          <w:tcPr>
            <w:tcW w:w="1407"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5,9%</w:t>
            </w:r>
          </w:p>
        </w:tc>
        <w:tc>
          <w:tcPr>
            <w:tcW w:w="1407"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5,8%</w:t>
            </w:r>
          </w:p>
        </w:tc>
      </w:tr>
      <w:tr w:rsidR="009E4100" w:rsidRPr="002F6403" w:rsidTr="00D21F0A">
        <w:trPr>
          <w:trHeight w:val="250"/>
        </w:trPr>
        <w:tc>
          <w:tcPr>
            <w:tcW w:w="2556" w:type="dxa"/>
          </w:tcPr>
          <w:p w:rsidR="009E4100" w:rsidRPr="002F6403" w:rsidRDefault="009E4100" w:rsidP="00B67F32">
            <w:pPr>
              <w:spacing w:before="120" w:after="60"/>
              <w:rPr>
                <w:color w:val="000000"/>
                <w:sz w:val="20"/>
                <w:szCs w:val="20"/>
                <w:lang w:eastAsia="bs-Latn-BA"/>
              </w:rPr>
            </w:pPr>
            <w:r w:rsidRPr="002F6403">
              <w:rPr>
                <w:color w:val="000000"/>
                <w:sz w:val="20"/>
                <w:szCs w:val="20"/>
                <w:lang w:eastAsia="bs-Latn-BA"/>
              </w:rPr>
              <w:t>Realni BDP u mil. KM</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26.201</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30.353</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32.650</w:t>
            </w:r>
          </w:p>
        </w:tc>
        <w:tc>
          <w:tcPr>
            <w:tcW w:w="1407"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34.502</w:t>
            </w:r>
          </w:p>
        </w:tc>
        <w:tc>
          <w:tcPr>
            <w:tcW w:w="1407"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36.602</w:t>
            </w:r>
          </w:p>
        </w:tc>
      </w:tr>
      <w:tr w:rsidR="009E4100" w:rsidRPr="002F6403" w:rsidTr="00D21F0A">
        <w:trPr>
          <w:trHeight w:val="250"/>
        </w:trPr>
        <w:tc>
          <w:tcPr>
            <w:tcW w:w="2556" w:type="dxa"/>
          </w:tcPr>
          <w:p w:rsidR="009E4100" w:rsidRPr="002F6403" w:rsidRDefault="009E4100" w:rsidP="00B67F32">
            <w:pPr>
              <w:spacing w:before="120" w:after="60"/>
              <w:rPr>
                <w:color w:val="000000"/>
                <w:sz w:val="20"/>
                <w:szCs w:val="20"/>
                <w:lang w:eastAsia="bs-Latn-BA"/>
              </w:rPr>
            </w:pPr>
            <w:r w:rsidRPr="002F6403">
              <w:rPr>
                <w:color w:val="000000"/>
                <w:sz w:val="20"/>
                <w:szCs w:val="20"/>
                <w:lang w:eastAsia="bs-Latn-BA"/>
              </w:rPr>
              <w:t>Realni rast u %</w:t>
            </w:r>
          </w:p>
        </w:tc>
        <w:tc>
          <w:tcPr>
            <w:tcW w:w="1406" w:type="dxa"/>
          </w:tcPr>
          <w:p w:rsidR="009E4100" w:rsidRPr="002F6403" w:rsidRDefault="009E4100" w:rsidP="00B67F32">
            <w:pPr>
              <w:spacing w:before="120" w:after="60"/>
              <w:jc w:val="center"/>
              <w:rPr>
                <w:sz w:val="20"/>
                <w:szCs w:val="20"/>
                <w:lang w:eastAsia="bs-Latn-BA"/>
              </w:rPr>
            </w:pPr>
            <w:r w:rsidRPr="002F6403">
              <w:rPr>
                <w:sz w:val="20"/>
                <w:szCs w:val="20"/>
                <w:lang w:eastAsia="bs-Latn-BA"/>
              </w:rPr>
              <w:t>3,9%</w:t>
            </w:r>
          </w:p>
        </w:tc>
        <w:tc>
          <w:tcPr>
            <w:tcW w:w="1406" w:type="dxa"/>
          </w:tcPr>
          <w:p w:rsidR="009E4100" w:rsidRPr="002F6403" w:rsidRDefault="009E4100" w:rsidP="00B67F32">
            <w:pPr>
              <w:spacing w:before="120" w:after="60"/>
              <w:jc w:val="center"/>
              <w:rPr>
                <w:color w:val="000000"/>
                <w:sz w:val="20"/>
                <w:szCs w:val="20"/>
                <w:lang w:eastAsia="bs-Latn-BA"/>
              </w:rPr>
            </w:pPr>
            <w:r w:rsidRPr="002F6403">
              <w:rPr>
                <w:color w:val="000000"/>
                <w:sz w:val="20"/>
                <w:szCs w:val="20"/>
                <w:lang w:eastAsia="bs-Latn-BA"/>
              </w:rPr>
              <w:t>2,3%</w:t>
            </w:r>
          </w:p>
        </w:tc>
        <w:tc>
          <w:tcPr>
            <w:tcW w:w="1406" w:type="dxa"/>
          </w:tcPr>
          <w:p w:rsidR="009E4100" w:rsidRPr="002F6403" w:rsidRDefault="009E4100" w:rsidP="00B67F32">
            <w:pPr>
              <w:spacing w:before="120" w:after="60"/>
              <w:jc w:val="center"/>
              <w:rPr>
                <w:color w:val="000000"/>
                <w:sz w:val="20"/>
                <w:szCs w:val="20"/>
                <w:lang w:eastAsia="bs-Latn-BA"/>
              </w:rPr>
            </w:pPr>
            <w:r w:rsidRPr="002F6403">
              <w:rPr>
                <w:color w:val="000000"/>
                <w:sz w:val="20"/>
                <w:szCs w:val="20"/>
                <w:lang w:eastAsia="bs-Latn-BA"/>
              </w:rPr>
              <w:t>3,0%</w:t>
            </w:r>
          </w:p>
        </w:tc>
        <w:tc>
          <w:tcPr>
            <w:tcW w:w="1407" w:type="dxa"/>
          </w:tcPr>
          <w:p w:rsidR="009E4100" w:rsidRPr="002F6403" w:rsidRDefault="009E4100" w:rsidP="00B67F32">
            <w:pPr>
              <w:spacing w:before="120" w:after="60"/>
              <w:jc w:val="center"/>
              <w:rPr>
                <w:color w:val="000000"/>
                <w:sz w:val="20"/>
                <w:szCs w:val="20"/>
                <w:lang w:eastAsia="bs-Latn-BA"/>
              </w:rPr>
            </w:pPr>
            <w:r w:rsidRPr="002F6403">
              <w:rPr>
                <w:color w:val="000000"/>
                <w:sz w:val="20"/>
                <w:szCs w:val="20"/>
                <w:lang w:eastAsia="bs-Latn-BA"/>
              </w:rPr>
              <w:t>3,3%</w:t>
            </w:r>
          </w:p>
        </w:tc>
        <w:tc>
          <w:tcPr>
            <w:tcW w:w="1407" w:type="dxa"/>
          </w:tcPr>
          <w:p w:rsidR="009E4100" w:rsidRPr="002F6403" w:rsidRDefault="009E4100" w:rsidP="00B67F32">
            <w:pPr>
              <w:spacing w:before="120" w:after="60"/>
              <w:jc w:val="center"/>
              <w:rPr>
                <w:color w:val="000000"/>
                <w:sz w:val="20"/>
                <w:szCs w:val="20"/>
                <w:lang w:eastAsia="bs-Latn-BA"/>
              </w:rPr>
            </w:pPr>
            <w:r w:rsidRPr="002F6403">
              <w:rPr>
                <w:color w:val="000000"/>
                <w:sz w:val="20"/>
                <w:szCs w:val="20"/>
                <w:lang w:eastAsia="bs-Latn-BA"/>
              </w:rPr>
              <w:t>3,5%</w:t>
            </w:r>
          </w:p>
        </w:tc>
      </w:tr>
    </w:tbl>
    <w:p w:rsidR="009E4100" w:rsidRPr="002F6403" w:rsidRDefault="009E4100" w:rsidP="009E4100">
      <w:pPr>
        <w:rPr>
          <w:sz w:val="20"/>
          <w:szCs w:val="20"/>
          <w:lang w:val="hr-BA"/>
        </w:rPr>
      </w:pPr>
      <w:r w:rsidRPr="002F6403">
        <w:rPr>
          <w:sz w:val="20"/>
          <w:szCs w:val="20"/>
          <w:lang w:val="hr-BA"/>
        </w:rPr>
        <w:t>Izvor: Federalno ministarstvo finansija</w:t>
      </w:r>
    </w:p>
    <w:p w:rsidR="009E4100" w:rsidRPr="002F6403" w:rsidRDefault="009E4100" w:rsidP="009E4100">
      <w:pPr>
        <w:ind w:firstLine="709"/>
        <w:jc w:val="both"/>
      </w:pPr>
      <w:r w:rsidRPr="002F6403">
        <w:lastRenderedPageBreak/>
        <w:t>Posljedice geopolitičke krize te sukobi u Ukrajini rezultirali su energetskim problemima koji su promjenili tok ekonomskih kretanja. Uvođenje sankcija ruskom energetskom sektoru, dodatno su smanjile ponudu energenata u EU te uzrokovali  snažan inflatorni šok. U narednom periodu kretanje ekonomskih aktivnosti u EU najviše će ovisiti o razvoju ratnih dešavanja u Ukrajini, ali i o radu na energetskoj tranziciji</w:t>
      </w:r>
      <w:r w:rsidRPr="002F6403">
        <w:footnoteReference w:id="17"/>
      </w:r>
      <w:r>
        <w:t xml:space="preserve"> </w:t>
      </w:r>
      <w:r w:rsidRPr="002F6403">
        <w:t>i realizaciji Zelenog plana EU 2019.</w:t>
      </w:r>
    </w:p>
    <w:p w:rsidR="009E4100" w:rsidRPr="002F6403" w:rsidRDefault="009E4100" w:rsidP="009E4100">
      <w:pPr>
        <w:ind w:firstLine="709"/>
        <w:jc w:val="both"/>
      </w:pPr>
      <w:r w:rsidRPr="002F6403">
        <w:t xml:space="preserve">Osim globalnih uvjeta koji diktiraju privredna kretanja, a koji ujedno predstavljaju glavni utjecajni faktor na privredni rast BiH te samim tim i Federacije BiH, institucionalni kapaciteti u provedbi strukturnih reformi svakako će imati jaki odraz na tendenciju ekonomskih kretanja za programski period. </w:t>
      </w:r>
    </w:p>
    <w:p w:rsidR="009E4100" w:rsidRPr="002F6403" w:rsidRDefault="009E4100" w:rsidP="009E4100">
      <w:pPr>
        <w:ind w:firstLine="709"/>
        <w:jc w:val="both"/>
      </w:pPr>
      <w:r w:rsidRPr="002F6403">
        <w:t xml:space="preserve">Prosječna godišnja inflacija u Federaciji BiH iznosila je 14,9. Obzirom da je inflacija uvoznog karaktera, te da snažno ovisi o daljnjem razvoju situacije vezane za energetsku krizu, daljnje kretanje inflacije biti će određeno vanjskim faktorima i u znatnoj mjeri utjecati će na domaća ekonomska zbivanja. </w:t>
      </w:r>
    </w:p>
    <w:p w:rsidR="009E4100" w:rsidRPr="002F6403" w:rsidRDefault="009E4100" w:rsidP="009E4100">
      <w:pPr>
        <w:ind w:firstLine="709"/>
        <w:jc w:val="both"/>
      </w:pPr>
      <w:r w:rsidRPr="002F6403">
        <w:t>Povoljniji globalni trend ekonomskih kretanja u svijetu pozitivno bi se odrazio na tok ekonomskih kretanja u našoj zemlji i zbog tradicionalno jakog priliva sredstava od transfera iz inostranstva. Povoljnija ekonomska situacija u svijetu dodatno bi osnažila doznake iz inostranstva i jaču potrošnju dijaspore tokom boravka u domovini te bi na taj način utjecala na ekonomiju BiH, a samim tim i Federacije BiH.</w:t>
      </w:r>
    </w:p>
    <w:p w:rsidR="009E4100" w:rsidRPr="002F6403" w:rsidRDefault="009E4100" w:rsidP="009E4100">
      <w:pPr>
        <w:ind w:firstLine="709"/>
        <w:jc w:val="both"/>
      </w:pPr>
      <w:r w:rsidRPr="002F6403">
        <w:t>Kako je privreda BiH i Federacije BiH oslonjena na privatnu potrošnju kao glavnu značajku rasta (manjim dijelom na investicije), analiza posljednjih statističkih podataka tržišta rada  u segmentu plata ukazuje da bi efekti ove komponete na realni rast BDP – a Federacije BiH mogli imati nešto manji značaj u odnosu na prethodne godine. Naime, kako je prikazano u prethodnom poglavlju, značajan rascjep između nominalnih i realnih stopa rasta neto plata zabilježen je u 2022. g. Kako pojava ovog jaza nije pozitivan pokazatelj standarda građana, ukoliko bi došlo do produbljivanja istog, negativan odraz na  privatnu potrošnju realno je očekivan. No, kako je cilj tokom nastupajućeg perioda ograničiti rast javne potrošnje putem fiskalne konsolidacije, uz smanjenje javnih rashoda i povećanje javnih prihoda, preusmjeravanjem sredstava na investicionu potrošnju moglo bi promjeniti strukturu rasta budućeg BDP –a. U tom slučaju investicije bi uz unapređenje poslovnog ambijenta mogle ostvariti značajan rast, a samim tim i veći doprinos očekivanom rastu BDP – a. U srednjoročnom razdoblju očekuje se da će javne investicije igrati značajniju ulogu u podsticanju ekonomskog rasta. Izgradnja putne infrastrukture te energetski projekti u srednjoročnom vremenskom razdoblju znatno bi trebali povećati udio javnih investicija u strukturi BDP – a.</w:t>
      </w:r>
    </w:p>
    <w:p w:rsidR="009E4100" w:rsidRDefault="009E4100" w:rsidP="009E4100">
      <w:pPr>
        <w:ind w:firstLine="709"/>
        <w:jc w:val="both"/>
      </w:pPr>
      <w:r w:rsidRPr="002F6403">
        <w:t>Imajući u vidu navedeno realna stopa proiciranog  rasta Federacije BiH u 2023. g iznositi će 2,3%, a za period 2024. – 2026. g.  prosječna stopa  realnog rasta procjenjuje se na  3,3%.</w:t>
      </w:r>
    </w:p>
    <w:p w:rsidR="009E4100" w:rsidRDefault="009E4100" w:rsidP="009E4100">
      <w:pPr>
        <w:ind w:firstLine="709"/>
        <w:jc w:val="both"/>
        <w:rPr>
          <w:rFonts w:eastAsia="Calibri"/>
        </w:rPr>
      </w:pPr>
      <w:r w:rsidRPr="00D0526E">
        <w:rPr>
          <w:rFonts w:eastAsia="Calibri"/>
        </w:rPr>
        <w:t xml:space="preserve">Prateći najnovije zvanične makroekonomske prognoze iz marta 2023. godine, preuzete od strane Direkcije za ekonomsko planiranje Bosne i Hercegovine, kao i pozitivne tekuće trendove naplate u prvom kvartalu 2023. godine, izvršeno je revidiranje projekcija prihoda za tekuću godinu i pripremljene su srednjoročne projekcije za period 2024.-2026. godina. Projekcije se temelje na postojećim poreznim politikama, a obuhvataju prihode budžeta svih nivoa vlasti u Federaciji </w:t>
      </w:r>
      <w:r w:rsidRPr="00D0526E">
        <w:rPr>
          <w:rFonts w:eastAsia="Calibri"/>
        </w:rPr>
        <w:lastRenderedPageBreak/>
        <w:t>BiH, prihode vanbudžetskih fondova, te javne prihode ostalih korisnika, koji ih naplaćuju. U projicirani okvir nisu uključena javna preduzeća, i sredstva iz primitaka.</w:t>
      </w:r>
    </w:p>
    <w:p w:rsidR="005E51D5" w:rsidRDefault="005E51D5" w:rsidP="005E51D5">
      <w:pPr>
        <w:pStyle w:val="ListParagraph"/>
        <w:ind w:left="0"/>
        <w:rPr>
          <w:rFonts w:ascii="Times New Roman" w:hAnsi="Times New Roman"/>
          <w:sz w:val="24"/>
          <w:szCs w:val="24"/>
        </w:rPr>
      </w:pPr>
    </w:p>
    <w:p w:rsidR="009E4100" w:rsidRPr="00D0526E" w:rsidRDefault="009E4100" w:rsidP="005E51D5">
      <w:pPr>
        <w:pStyle w:val="ListParagraph"/>
        <w:ind w:left="0"/>
        <w:rPr>
          <w:rFonts w:ascii="Times New Roman" w:hAnsi="Times New Roman"/>
          <w:b/>
          <w:sz w:val="20"/>
          <w:szCs w:val="20"/>
        </w:rPr>
      </w:pPr>
      <w:r w:rsidRPr="00D0526E">
        <w:rPr>
          <w:rFonts w:ascii="Times New Roman" w:hAnsi="Times New Roman"/>
          <w:b/>
          <w:sz w:val="20"/>
          <w:szCs w:val="20"/>
        </w:rPr>
        <w:t>Tabela 2. Konsolidirane projekcije ukupnog okvira javnih prihoda u Federaciji BiH  za 2023. g. i                                        period  2024. – 2026.  godine</w:t>
      </w:r>
    </w:p>
    <w:p w:rsidR="009E4100" w:rsidRPr="00D0526E" w:rsidRDefault="009E4100" w:rsidP="009E4100">
      <w:pPr>
        <w:pStyle w:val="ListParagraph"/>
        <w:ind w:left="0" w:firstLine="709"/>
        <w:rPr>
          <w:rFonts w:ascii="Times New Roman" w:hAnsi="Times New Roman"/>
          <w:sz w:val="24"/>
        </w:rPr>
      </w:pPr>
      <w:r>
        <w:rPr>
          <w:rFonts w:ascii="Times New Roman" w:hAnsi="Times New Roman"/>
          <w:noProof/>
          <w:lang w:val="hr-HR" w:eastAsia="hr-HR"/>
        </w:rPr>
        <w:drawing>
          <wp:inline distT="0" distB="0" distL="0" distR="0">
            <wp:extent cx="4857750" cy="7058025"/>
            <wp:effectExtent l="38100" t="19050" r="19050" b="2857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859451" cy="7060497"/>
                    </a:xfrm>
                    <a:prstGeom prst="rect">
                      <a:avLst/>
                    </a:prstGeom>
                    <a:noFill/>
                    <a:ln w="9525">
                      <a:solidFill>
                        <a:schemeClr val="tx1"/>
                      </a:solidFill>
                      <a:miter lim="800000"/>
                      <a:headEnd/>
                      <a:tailEnd/>
                    </a:ln>
                  </pic:spPr>
                </pic:pic>
              </a:graphicData>
            </a:graphic>
          </wp:inline>
        </w:drawing>
      </w:r>
    </w:p>
    <w:p w:rsidR="009E4100" w:rsidRPr="00D0526E" w:rsidRDefault="009E4100" w:rsidP="009E4100">
      <w:pPr>
        <w:jc w:val="center"/>
        <w:rPr>
          <w:sz w:val="20"/>
          <w:szCs w:val="20"/>
        </w:rPr>
      </w:pPr>
      <w:r w:rsidRPr="00D0526E">
        <w:rPr>
          <w:b/>
          <w:sz w:val="20"/>
          <w:szCs w:val="20"/>
        </w:rPr>
        <w:t>Izvor:</w:t>
      </w:r>
      <w:r w:rsidRPr="00D0526E">
        <w:rPr>
          <w:sz w:val="20"/>
          <w:szCs w:val="20"/>
        </w:rPr>
        <w:t xml:space="preserve"> Federalno ministarstvo finansija</w:t>
      </w:r>
    </w:p>
    <w:p w:rsidR="009E4100" w:rsidRPr="00D0526E" w:rsidRDefault="009E4100" w:rsidP="009E4100">
      <w:pPr>
        <w:spacing w:before="200" w:after="120" w:line="276" w:lineRule="auto"/>
        <w:ind w:firstLine="709"/>
        <w:jc w:val="both"/>
      </w:pPr>
      <w:r w:rsidRPr="00D0526E">
        <w:rPr>
          <w:rFonts w:eastAsia="Calibri"/>
        </w:rPr>
        <w:lastRenderedPageBreak/>
        <w:t>Tako u 2022. godini, ukupno očekivano ukupno ostvarenje javnih prihoda u Federaciji BiH iznosi 12.238,9 mil. KM i u poređenju sa ostvarenjem iz prethodne godine pretpostavlja rast od 9,6% ili za 1.072,6 mil. KM.Prateći očekivani ekonomski rast u Bosni i Hercegovini od prosječnih 3% na godišnjem nivou u periodu 2024.-2026. godina, pretpostavlja se da će prosječna stopa rasta naplate ukupnih javnih prihoda u Federaciji BiH u navedenom srednjoročnom periodu iznositi 6,9% (</w:t>
      </w:r>
      <w:r w:rsidRPr="00D0526E">
        <w:rPr>
          <w:rFonts w:eastAsia="Calibri"/>
          <w:b/>
          <w:bCs/>
        </w:rPr>
        <w:t xml:space="preserve">2024: </w:t>
      </w:r>
      <w:r w:rsidRPr="00D0526E">
        <w:rPr>
          <w:rFonts w:eastAsia="Calibri"/>
        </w:rPr>
        <w:t xml:space="preserve">6,9%; </w:t>
      </w:r>
      <w:r w:rsidRPr="00D0526E">
        <w:rPr>
          <w:rFonts w:eastAsia="Calibri"/>
          <w:b/>
          <w:bCs/>
        </w:rPr>
        <w:t>2025:</w:t>
      </w:r>
      <w:r w:rsidRPr="00D0526E">
        <w:rPr>
          <w:rFonts w:eastAsia="Calibri"/>
        </w:rPr>
        <w:t xml:space="preserve">6,7% i </w:t>
      </w:r>
      <w:r w:rsidRPr="00D0526E">
        <w:rPr>
          <w:rFonts w:eastAsia="Calibri"/>
          <w:b/>
          <w:bCs/>
        </w:rPr>
        <w:t>2026:</w:t>
      </w:r>
      <w:r w:rsidRPr="00D0526E">
        <w:rPr>
          <w:rFonts w:eastAsia="Calibri"/>
        </w:rPr>
        <w:t xml:space="preserve"> 7,2%).</w:t>
      </w:r>
    </w:p>
    <w:p w:rsidR="009E4100" w:rsidRPr="00D0526E" w:rsidRDefault="009E4100" w:rsidP="009E4100">
      <w:pPr>
        <w:pStyle w:val="ListParagraph"/>
        <w:spacing w:after="0" w:line="240" w:lineRule="auto"/>
        <w:ind w:left="0" w:firstLine="720"/>
        <w:jc w:val="both"/>
        <w:rPr>
          <w:rFonts w:ascii="Times New Roman" w:hAnsi="Times New Roman"/>
          <w:sz w:val="24"/>
          <w:szCs w:val="24"/>
        </w:rPr>
      </w:pPr>
      <w:r w:rsidRPr="00D0526E">
        <w:rPr>
          <w:rFonts w:ascii="Times New Roman" w:hAnsi="Times New Roman"/>
          <w:sz w:val="24"/>
          <w:szCs w:val="24"/>
        </w:rPr>
        <w:t xml:space="preserve">Očekivana naplata prihoda od indirektnih poreza iz raspodjele sa Jedinstvenog računa Uprave za indirektno oporezivanje u 2023. godini iznosi 4.236,2 mil. KM i u odnosu na 2022. godinu pretpostavlja rast za 3,7% ili za 150,1 mil. KM. Nakon odbitka planiranih sredstava </w:t>
      </w:r>
      <w:bookmarkStart w:id="4" w:name="_Hlk134780109"/>
      <w:r w:rsidRPr="00D0526E">
        <w:rPr>
          <w:rFonts w:ascii="Times New Roman" w:hAnsi="Times New Roman"/>
          <w:sz w:val="24"/>
          <w:szCs w:val="24"/>
        </w:rPr>
        <w:t xml:space="preserve">namjenjenih otplati vanjskog duga </w:t>
      </w:r>
      <w:bookmarkEnd w:id="4"/>
      <w:r w:rsidRPr="00D0526E">
        <w:rPr>
          <w:rFonts w:ascii="Times New Roman" w:hAnsi="Times New Roman"/>
          <w:sz w:val="24"/>
          <w:szCs w:val="24"/>
        </w:rPr>
        <w:t>u iznosu od 890,1 mil. KM, projekcija ukupnog raspoloživog dijela prihoda od indirektnih poreza za dalju raspodjelu korisnicima u Federaciji Bosne i Hercegovine, odnosno njihovu budžetsku potrošnju, iznosi 3.346,1 mil. KM i u odnosu na 2022. godinu manja je za 5,8% ili za 205,1 mil. KM.</w:t>
      </w:r>
    </w:p>
    <w:p w:rsidR="009E4100" w:rsidRPr="00D0526E" w:rsidRDefault="009E4100" w:rsidP="009E4100">
      <w:pPr>
        <w:pStyle w:val="ListParagraph"/>
        <w:spacing w:after="0" w:line="240" w:lineRule="auto"/>
        <w:ind w:left="0" w:firstLine="720"/>
        <w:jc w:val="both"/>
        <w:rPr>
          <w:rFonts w:ascii="Times New Roman" w:hAnsi="Times New Roman"/>
          <w:sz w:val="24"/>
          <w:szCs w:val="24"/>
        </w:rPr>
      </w:pPr>
      <w:r w:rsidRPr="00D0526E">
        <w:rPr>
          <w:rFonts w:ascii="Times New Roman" w:hAnsi="Times New Roman"/>
          <w:sz w:val="24"/>
          <w:szCs w:val="24"/>
        </w:rPr>
        <w:t>Prateći plan ukupne naplate prihoda na Jedinstvenom računu, pretpostavljen od strane Odjeljenja za makroekonomsku analizu Upravnog odbora Uprave za indirektno oporezivanje (OMA), kao i projekciju kretanja koeficijenta učešća Federacije Bosne i Hercegovine u međuentiteskoj raspodjeli, baziranog na prognozama ostvarenja krajnje potrošnje, predviđa se da će u 2024. godini ukupno doznačena sredstva od indirektnih poreza za Federaciju Bosne i Hercegovine biti veća za 4,6%, dok pod pretpostavkom značajnog smanjenja uticaja inflancije, očekivane stope kretanja u 2025. i 2026. godini iznose 4,3% i 4,4%.</w:t>
      </w:r>
    </w:p>
    <w:p w:rsidR="009E4100" w:rsidRPr="00D0526E" w:rsidRDefault="009E4100" w:rsidP="009E4100">
      <w:pPr>
        <w:autoSpaceDE w:val="0"/>
        <w:autoSpaceDN w:val="0"/>
        <w:adjustRightInd w:val="0"/>
        <w:ind w:left="23" w:right="23" w:firstLine="697"/>
        <w:jc w:val="both"/>
        <w:rPr>
          <w:bCs/>
        </w:rPr>
      </w:pPr>
      <w:r w:rsidRPr="00D0526E">
        <w:rPr>
          <w:bCs/>
        </w:rPr>
        <w:t>Plan prihoda Budžeta Zeničko-dobojskog kantona za 2023. godinu po osnovu ovog poreza iznosi 261,8 miliona KM, dok je po novoj Revidiranoj projekciji dostavljenoj od strane Federalnog ministarstva finansija projiciran prihod od indirektnih poreza u iznosu od 256,2 miliona KM.</w:t>
      </w:r>
    </w:p>
    <w:p w:rsidR="009E4100" w:rsidRPr="00D0526E" w:rsidRDefault="009E4100" w:rsidP="009E4100">
      <w:pPr>
        <w:autoSpaceDE w:val="0"/>
        <w:autoSpaceDN w:val="0"/>
        <w:adjustRightInd w:val="0"/>
        <w:ind w:left="23" w:right="23" w:firstLine="697"/>
        <w:jc w:val="both"/>
      </w:pPr>
      <w:r w:rsidRPr="00D0526E">
        <w:t>U tri naredne fiskalne godine ovi iznosi su projicirani na 283 miliona KM u 2024. godini, 314,6 miliona KM u 2025. godini, te 340,3 miliona KM u 2026. godini.</w:t>
      </w:r>
    </w:p>
    <w:p w:rsidR="009E4100" w:rsidRPr="00D0526E" w:rsidRDefault="009E4100" w:rsidP="009E4100">
      <w:pPr>
        <w:ind w:left="23" w:right="23" w:firstLine="697"/>
        <w:jc w:val="both"/>
      </w:pPr>
      <w:r w:rsidRPr="00D0526E">
        <w:t>U tabeli 8. dat je detaljan prikaz projekcije prihoda od indirektnih poreza Zeničko-dobojskog kantona i općina/gradova Kantona pojedinačno s Jedinstvenog računa za 2023. godinu, te projekcije prihoda za period 2024.-2026. godina</w:t>
      </w:r>
      <w:r w:rsidRPr="00D0526E">
        <w:rPr>
          <w:rStyle w:val="FootnoteReference"/>
        </w:rPr>
        <w:footnoteReference w:id="18"/>
      </w:r>
      <w:r w:rsidRPr="00D0526E">
        <w:t>.</w:t>
      </w:r>
    </w:p>
    <w:p w:rsidR="009E4100" w:rsidRPr="00D0526E" w:rsidRDefault="009E4100" w:rsidP="009E4100">
      <w:pPr>
        <w:ind w:right="23"/>
        <w:jc w:val="both"/>
      </w:pPr>
    </w:p>
    <w:p w:rsidR="009E4100" w:rsidRPr="00D0526E" w:rsidRDefault="009E4100" w:rsidP="009E4100">
      <w:pPr>
        <w:pStyle w:val="Caption"/>
        <w:jc w:val="left"/>
      </w:pPr>
      <w:r w:rsidRPr="00D0526E">
        <w:t xml:space="preserve">          Tabela 5: Prihodi od indirektnih poreza iz raspodjele s Jedinstvenog računa u KM</w:t>
      </w:r>
    </w:p>
    <w:tbl>
      <w:tblPr>
        <w:tblW w:w="6440" w:type="dxa"/>
        <w:jc w:val="center"/>
        <w:tblInd w:w="113" w:type="dxa"/>
        <w:tblLook w:val="04A0"/>
      </w:tblPr>
      <w:tblGrid>
        <w:gridCol w:w="2376"/>
        <w:gridCol w:w="1016"/>
        <w:gridCol w:w="1016"/>
        <w:gridCol w:w="1016"/>
        <w:gridCol w:w="1016"/>
      </w:tblGrid>
      <w:tr w:rsidR="009E4100" w:rsidRPr="00D0526E" w:rsidTr="00B67F32">
        <w:trPr>
          <w:trHeight w:val="300"/>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lang w:val="bs-Latn-BA" w:eastAsia="bs-Latn-BA"/>
              </w:rPr>
            </w:pPr>
            <w:r w:rsidRPr="00D0526E">
              <w:rPr>
                <w:b/>
                <w:bCs/>
                <w:color w:val="000000"/>
                <w:sz w:val="16"/>
                <w:szCs w:val="16"/>
              </w:rPr>
              <w:t>VRSTA PRIHODA</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rPr>
            </w:pPr>
            <w:r w:rsidRPr="00D0526E">
              <w:rPr>
                <w:b/>
                <w:bCs/>
                <w:color w:val="000000"/>
                <w:sz w:val="16"/>
                <w:szCs w:val="16"/>
              </w:rPr>
              <w:t>Plan</w:t>
            </w:r>
          </w:p>
        </w:tc>
        <w:tc>
          <w:tcPr>
            <w:tcW w:w="3000" w:type="dxa"/>
            <w:gridSpan w:val="3"/>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rPr>
            </w:pPr>
            <w:r w:rsidRPr="00D0526E">
              <w:rPr>
                <w:b/>
                <w:bCs/>
                <w:color w:val="000000"/>
                <w:sz w:val="16"/>
                <w:szCs w:val="16"/>
              </w:rPr>
              <w:t>Projekcija</w:t>
            </w:r>
          </w:p>
        </w:tc>
      </w:tr>
      <w:tr w:rsidR="009E4100" w:rsidRPr="00D0526E" w:rsidTr="00B67F32">
        <w:trPr>
          <w:trHeight w:val="225"/>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9E4100" w:rsidRPr="00D0526E" w:rsidRDefault="009E4100" w:rsidP="00B67F32">
            <w:pPr>
              <w:rPr>
                <w:b/>
                <w:bCs/>
                <w:color w:val="000000"/>
                <w:sz w:val="16"/>
                <w:szCs w:val="16"/>
              </w:rPr>
            </w:pP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rPr>
            </w:pPr>
            <w:r w:rsidRPr="00D0526E">
              <w:rPr>
                <w:b/>
                <w:bCs/>
                <w:color w:val="000000"/>
                <w:sz w:val="16"/>
                <w:szCs w:val="16"/>
              </w:rPr>
              <w:t>2023.</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rPr>
            </w:pPr>
            <w:r w:rsidRPr="00D0526E">
              <w:rPr>
                <w:b/>
                <w:bCs/>
                <w:color w:val="000000"/>
                <w:sz w:val="16"/>
                <w:szCs w:val="16"/>
              </w:rPr>
              <w:t>2024.</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rPr>
            </w:pPr>
            <w:r w:rsidRPr="00D0526E">
              <w:rPr>
                <w:b/>
                <w:bCs/>
                <w:color w:val="000000"/>
                <w:sz w:val="16"/>
                <w:szCs w:val="16"/>
              </w:rPr>
              <w:t>2024.</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16"/>
                <w:szCs w:val="16"/>
              </w:rPr>
            </w:pPr>
            <w:r w:rsidRPr="00D0526E">
              <w:rPr>
                <w:b/>
                <w:bCs/>
                <w:color w:val="000000"/>
                <w:sz w:val="16"/>
                <w:szCs w:val="16"/>
              </w:rPr>
              <w:t>2025.</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rPr>
                <w:b/>
                <w:bCs/>
                <w:color w:val="000000"/>
                <w:sz w:val="16"/>
                <w:szCs w:val="16"/>
              </w:rPr>
            </w:pPr>
            <w:r w:rsidRPr="00D0526E">
              <w:rPr>
                <w:b/>
                <w:bCs/>
                <w:color w:val="000000"/>
                <w:sz w:val="16"/>
                <w:szCs w:val="16"/>
              </w:rPr>
              <w:t>1.1. Kantonalni budžet</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256.203.835</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283.087.260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314.607.825</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340.296.471</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rPr>
                <w:b/>
                <w:bCs/>
                <w:color w:val="000000"/>
                <w:sz w:val="16"/>
                <w:szCs w:val="16"/>
              </w:rPr>
            </w:pPr>
            <w:r w:rsidRPr="00D0526E">
              <w:rPr>
                <w:b/>
                <w:bCs/>
                <w:color w:val="000000"/>
                <w:sz w:val="16"/>
                <w:szCs w:val="16"/>
              </w:rPr>
              <w:t>1.2. Općinski/gradski budžeti</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45.529.170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49.430.117</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53.954.953</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16"/>
                <w:szCs w:val="16"/>
              </w:rPr>
            </w:pPr>
            <w:r w:rsidRPr="00D0526E">
              <w:rPr>
                <w:b/>
                <w:bCs/>
                <w:color w:val="000000"/>
                <w:sz w:val="16"/>
                <w:szCs w:val="16"/>
              </w:rPr>
              <w:t>58.360.530</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1.2.1. Breza</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1.749.605</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1.899.511</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2.073.393</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2.242.691</w:t>
            </w:r>
          </w:p>
        </w:tc>
      </w:tr>
      <w:tr w:rsidR="009E4100" w:rsidRPr="00D0526E" w:rsidTr="00C7006A">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1.2.2. Doboj Jug</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445.149</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483.290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527.530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570.604</w:t>
            </w:r>
          </w:p>
        </w:tc>
      </w:tr>
      <w:tr w:rsidR="009E4100" w:rsidRPr="00D0526E" w:rsidTr="00C7006A">
        <w:trPr>
          <w:trHeight w:val="225"/>
          <w:jc w:val="center"/>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lastRenderedPageBreak/>
              <w:t>1.2.3. Kakanj</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4.888.188</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5.307.008</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5.792.812</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6.265.812</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1.2.4. Maglaj</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2.972.356</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3.227.028</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3.522.430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3.810.047</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1.2.5. Olovo</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1.343.899</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1.459.045</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1.592.606</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1.722.647</w:t>
            </w:r>
          </w:p>
        </w:tc>
      </w:tr>
      <w:tr w:rsidR="009E4100" w:rsidRPr="00D0526E" w:rsidTr="005E51D5">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1.2.6. Tešanj</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5.071.319</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5.505.830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6.009.834</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6.500.554</w:t>
            </w:r>
          </w:p>
        </w:tc>
      </w:tr>
      <w:tr w:rsidR="009E4100" w:rsidRPr="00D0526E" w:rsidTr="005E51D5">
        <w:trPr>
          <w:trHeight w:val="225"/>
          <w:jc w:val="center"/>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1.2.7. Usora</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715.619</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776.934</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848.054</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917.300</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1.2.8. Vareš</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1.104.420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1.199.047</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1.308.808</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1.415.676</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1.2.9. Visoko</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4.547.282</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4.936.894</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5.388.818</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5.828.830</w:t>
            </w:r>
          </w:p>
        </w:tc>
      </w:tr>
      <w:tr w:rsidR="009E4100" w:rsidRPr="00D0526E" w:rsidTr="00B67F32">
        <w:trPr>
          <w:trHeight w:val="225"/>
          <w:jc w:val="center"/>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1.2.10. Zavidovići</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4.750.135</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5.157.127</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5.629.211</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6.088.852</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1.2.11. Zenica</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14.103.900</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15.312.325</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16.714.016</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18.078.764</w:t>
            </w:r>
          </w:p>
        </w:tc>
      </w:tr>
      <w:tr w:rsidR="009E4100" w:rsidRPr="00D0526E" w:rsidTr="00B67F32">
        <w:trPr>
          <w:trHeight w:val="225"/>
          <w:jc w:val="center"/>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ind w:firstLineChars="100" w:firstLine="160"/>
              <w:rPr>
                <w:color w:val="000000"/>
                <w:sz w:val="16"/>
                <w:szCs w:val="16"/>
              </w:rPr>
            </w:pPr>
            <w:r w:rsidRPr="00D0526E">
              <w:rPr>
                <w:color w:val="000000"/>
                <w:sz w:val="16"/>
                <w:szCs w:val="16"/>
              </w:rPr>
              <w:t>1.2.11. Žepče</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3.837.298</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4.166.078</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4.547.441</w:t>
            </w:r>
          </w:p>
        </w:tc>
        <w:tc>
          <w:tcPr>
            <w:tcW w:w="10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16"/>
                <w:szCs w:val="16"/>
              </w:rPr>
            </w:pPr>
            <w:r w:rsidRPr="00D0526E">
              <w:rPr>
                <w:color w:val="000000"/>
                <w:sz w:val="16"/>
                <w:szCs w:val="16"/>
              </w:rPr>
              <w:t>4.918.753</w:t>
            </w:r>
          </w:p>
        </w:tc>
      </w:tr>
    </w:tbl>
    <w:p w:rsidR="009E4100" w:rsidRPr="00D0526E" w:rsidRDefault="009E4100" w:rsidP="009E4100">
      <w:pPr>
        <w:pStyle w:val="Default"/>
        <w:jc w:val="both"/>
        <w:rPr>
          <w:rFonts w:ascii="Times New Roman" w:hAnsi="Times New Roman" w:cs="Times New Roman"/>
          <w:sz w:val="16"/>
          <w:szCs w:val="16"/>
        </w:rPr>
      </w:pPr>
      <w:r w:rsidRPr="00D0526E">
        <w:rPr>
          <w:rFonts w:ascii="Times New Roman" w:hAnsi="Times New Roman" w:cs="Times New Roman"/>
          <w:sz w:val="16"/>
          <w:szCs w:val="16"/>
        </w:rPr>
        <w:t xml:space="preserve"> </w:t>
      </w:r>
    </w:p>
    <w:p w:rsidR="009E4100" w:rsidRPr="00D0526E" w:rsidRDefault="009E4100" w:rsidP="009E4100">
      <w:pPr>
        <w:autoSpaceDE w:val="0"/>
        <w:autoSpaceDN w:val="0"/>
        <w:adjustRightInd w:val="0"/>
        <w:ind w:right="23"/>
        <w:jc w:val="both"/>
      </w:pPr>
    </w:p>
    <w:p w:rsidR="009E4100" w:rsidRPr="00D0526E" w:rsidRDefault="009E4100" w:rsidP="009E4100">
      <w:pPr>
        <w:autoSpaceDE w:val="0"/>
        <w:autoSpaceDN w:val="0"/>
        <w:adjustRightInd w:val="0"/>
        <w:ind w:right="23"/>
        <w:jc w:val="both"/>
        <w:rPr>
          <w:i/>
        </w:rPr>
      </w:pPr>
    </w:p>
    <w:p w:rsidR="009E4100" w:rsidRPr="00D0526E" w:rsidRDefault="009E4100" w:rsidP="009E4100">
      <w:pPr>
        <w:ind w:left="23" w:right="23" w:firstLine="697"/>
        <w:jc w:val="both"/>
      </w:pPr>
      <w:r w:rsidRPr="00D0526E">
        <w:t xml:space="preserve">Zakonom o pripadnosti javnih prihoda na području Zeničko-dobojskog kantona (“Službene novine Zeničko-dobojskog kantona” broj: 1/06, 2/06, 5/06, 7/09 i 12/13) svim općinama/gradovima Zeničko-dobojskog kantona je ustupljen dio uplaćenog prihoda od poreza na dohodak u iznosu od 34,46%, dok je općini Žepče ustupljen u iznosu od 44,46%.   </w:t>
      </w:r>
    </w:p>
    <w:p w:rsidR="009E4100" w:rsidRPr="00D0526E" w:rsidRDefault="009E4100" w:rsidP="009E4100">
      <w:pPr>
        <w:ind w:left="23" w:right="23" w:firstLine="697"/>
        <w:jc w:val="both"/>
        <w:rPr>
          <w:bCs/>
        </w:rPr>
      </w:pPr>
      <w:r w:rsidRPr="00D0526E">
        <w:rPr>
          <w:bCs/>
        </w:rPr>
        <w:t>Plan prihoda Budžeta Zeničko-dobojskog kantona za 2023. godinu po osnovu ovog poreza iznosi 54,5 miliona KM, dok je po novoj Revidiranoj projekciji dostavljenoj od strane Federalnog ministarstva finansija projiciran prihod od poreza na dohodak u iznosu od 58,3 milion KM.</w:t>
      </w:r>
    </w:p>
    <w:p w:rsidR="009E4100" w:rsidRPr="00D0526E" w:rsidRDefault="009E4100" w:rsidP="009E4100">
      <w:pPr>
        <w:ind w:left="23" w:right="23" w:firstLine="697"/>
        <w:jc w:val="both"/>
        <w:rPr>
          <w:bCs/>
        </w:rPr>
      </w:pPr>
      <w:r w:rsidRPr="00D0526E">
        <w:rPr>
          <w:bCs/>
        </w:rPr>
        <w:t>U 2024. godini projiciran je ukupan iznos prihoda po osnovu poreza na dohodak od 66,6 miliona KM, 75,9 miliona KM u 2025. godini i 86,7 miliona KM u 2026. godini.</w:t>
      </w:r>
    </w:p>
    <w:p w:rsidR="009E4100" w:rsidRPr="00D0526E" w:rsidRDefault="009E4100" w:rsidP="009E4100">
      <w:pPr>
        <w:ind w:left="23" w:right="23" w:firstLine="697"/>
        <w:jc w:val="both"/>
      </w:pPr>
      <w:r w:rsidRPr="00D0526E">
        <w:t>U sljedećoj tabeli je navedene su projekcije za period 2024.-2026. godina za Zeničko-dobojski kanton i općine/gradove Kantona</w:t>
      </w:r>
      <w:r w:rsidRPr="00D0526E">
        <w:rPr>
          <w:rStyle w:val="FootnoteReference"/>
        </w:rPr>
        <w:footnoteReference w:id="19"/>
      </w:r>
      <w:r w:rsidRPr="00D0526E">
        <w:t>.</w:t>
      </w:r>
    </w:p>
    <w:p w:rsidR="009E4100" w:rsidRPr="00D0526E" w:rsidRDefault="009E4100" w:rsidP="009E4100">
      <w:pPr>
        <w:ind w:right="23"/>
        <w:jc w:val="both"/>
      </w:pPr>
    </w:p>
    <w:p w:rsidR="009E4100" w:rsidRPr="00D0526E" w:rsidRDefault="009E4100" w:rsidP="009E4100">
      <w:pPr>
        <w:pStyle w:val="Caption"/>
        <w:ind w:firstLine="720"/>
      </w:pPr>
      <w:r w:rsidRPr="00D0526E">
        <w:t>Tabela 10: Prihodi od poreza na dohodak u KM</w:t>
      </w:r>
    </w:p>
    <w:tbl>
      <w:tblPr>
        <w:tblW w:w="7657" w:type="dxa"/>
        <w:jc w:val="center"/>
        <w:tblInd w:w="756" w:type="dxa"/>
        <w:tblLook w:val="04A0"/>
      </w:tblPr>
      <w:tblGrid>
        <w:gridCol w:w="2577"/>
        <w:gridCol w:w="1180"/>
        <w:gridCol w:w="1300"/>
        <w:gridCol w:w="1300"/>
        <w:gridCol w:w="1300"/>
      </w:tblGrid>
      <w:tr w:rsidR="009E4100" w:rsidRPr="00D0526E" w:rsidTr="00B67F32">
        <w:trPr>
          <w:trHeight w:val="300"/>
          <w:jc w:val="center"/>
        </w:trPr>
        <w:tc>
          <w:tcPr>
            <w:tcW w:w="25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100" w:rsidRPr="00D0526E" w:rsidRDefault="009E4100" w:rsidP="00B67F32">
            <w:pPr>
              <w:jc w:val="center"/>
              <w:rPr>
                <w:b/>
                <w:bCs/>
                <w:color w:val="000000"/>
                <w:sz w:val="20"/>
                <w:szCs w:val="20"/>
                <w:lang w:val="bs-Latn-BA" w:eastAsia="bs-Latn-BA"/>
              </w:rPr>
            </w:pPr>
            <w:r w:rsidRPr="00D0526E">
              <w:rPr>
                <w:b/>
                <w:bCs/>
                <w:color w:val="000000"/>
                <w:sz w:val="20"/>
                <w:szCs w:val="20"/>
              </w:rPr>
              <w:t>Vrsta prihoda</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20"/>
                <w:szCs w:val="20"/>
              </w:rPr>
            </w:pPr>
            <w:r w:rsidRPr="00D0526E">
              <w:rPr>
                <w:b/>
                <w:bCs/>
                <w:color w:val="000000"/>
                <w:sz w:val="20"/>
                <w:szCs w:val="20"/>
              </w:rPr>
              <w:t>Plan</w:t>
            </w:r>
          </w:p>
        </w:tc>
        <w:tc>
          <w:tcPr>
            <w:tcW w:w="3900" w:type="dxa"/>
            <w:gridSpan w:val="3"/>
            <w:tcBorders>
              <w:top w:val="single" w:sz="4" w:space="0" w:color="auto"/>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20"/>
                <w:szCs w:val="20"/>
              </w:rPr>
            </w:pPr>
            <w:r w:rsidRPr="00D0526E">
              <w:rPr>
                <w:b/>
                <w:bCs/>
                <w:color w:val="000000"/>
                <w:sz w:val="20"/>
                <w:szCs w:val="20"/>
              </w:rPr>
              <w:t>Projekcija</w:t>
            </w:r>
          </w:p>
        </w:tc>
      </w:tr>
      <w:tr w:rsidR="009E4100" w:rsidRPr="00D0526E" w:rsidTr="00B67F32">
        <w:trPr>
          <w:trHeight w:val="300"/>
          <w:jc w:val="center"/>
        </w:trPr>
        <w:tc>
          <w:tcPr>
            <w:tcW w:w="2577" w:type="dxa"/>
            <w:vMerge/>
            <w:tcBorders>
              <w:top w:val="single" w:sz="4" w:space="0" w:color="auto"/>
              <w:left w:val="single" w:sz="4" w:space="0" w:color="auto"/>
              <w:bottom w:val="single" w:sz="4" w:space="0" w:color="000000"/>
              <w:right w:val="single" w:sz="4" w:space="0" w:color="auto"/>
            </w:tcBorders>
            <w:vAlign w:val="center"/>
            <w:hideMark/>
          </w:tcPr>
          <w:p w:rsidR="009E4100" w:rsidRPr="00D0526E" w:rsidRDefault="009E4100" w:rsidP="00B67F32">
            <w:pPr>
              <w:rPr>
                <w:b/>
                <w:bCs/>
                <w:color w:val="000000"/>
                <w:sz w:val="20"/>
                <w:szCs w:val="20"/>
              </w:rPr>
            </w:pPr>
          </w:p>
        </w:tc>
        <w:tc>
          <w:tcPr>
            <w:tcW w:w="118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20"/>
                <w:szCs w:val="20"/>
              </w:rPr>
            </w:pPr>
            <w:r w:rsidRPr="00D0526E">
              <w:rPr>
                <w:b/>
                <w:bCs/>
                <w:color w:val="000000"/>
                <w:sz w:val="20"/>
                <w:szCs w:val="20"/>
              </w:rPr>
              <w:t>2023.</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20"/>
                <w:szCs w:val="20"/>
              </w:rPr>
            </w:pPr>
            <w:r w:rsidRPr="00D0526E">
              <w:rPr>
                <w:b/>
                <w:bCs/>
                <w:color w:val="000000"/>
                <w:sz w:val="20"/>
                <w:szCs w:val="20"/>
              </w:rPr>
              <w:t>2024.</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20"/>
                <w:szCs w:val="20"/>
              </w:rPr>
            </w:pPr>
            <w:r w:rsidRPr="00D0526E">
              <w:rPr>
                <w:b/>
                <w:bCs/>
                <w:color w:val="000000"/>
                <w:sz w:val="20"/>
                <w:szCs w:val="20"/>
              </w:rPr>
              <w:t>2025.</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center"/>
              <w:rPr>
                <w:b/>
                <w:bCs/>
                <w:color w:val="000000"/>
                <w:sz w:val="20"/>
                <w:szCs w:val="20"/>
              </w:rPr>
            </w:pPr>
            <w:r w:rsidRPr="00D0526E">
              <w:rPr>
                <w:b/>
                <w:bCs/>
                <w:color w:val="000000"/>
                <w:sz w:val="20"/>
                <w:szCs w:val="20"/>
              </w:rPr>
              <w:t>2026.</w:t>
            </w:r>
          </w:p>
        </w:tc>
      </w:tr>
      <w:tr w:rsidR="009E4100" w:rsidRPr="00D0526E" w:rsidTr="00B67F32">
        <w:trPr>
          <w:trHeight w:val="300"/>
          <w:jc w:val="center"/>
        </w:trPr>
        <w:tc>
          <w:tcPr>
            <w:tcW w:w="2577"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rPr>
                <w:b/>
                <w:bCs/>
                <w:color w:val="000000"/>
                <w:sz w:val="20"/>
                <w:szCs w:val="20"/>
              </w:rPr>
            </w:pPr>
            <w:r w:rsidRPr="00D0526E">
              <w:rPr>
                <w:b/>
                <w:bCs/>
                <w:color w:val="000000"/>
                <w:sz w:val="20"/>
                <w:szCs w:val="20"/>
              </w:rPr>
              <w:t>1. Porez na dohodak</w:t>
            </w:r>
          </w:p>
        </w:tc>
        <w:tc>
          <w:tcPr>
            <w:tcW w:w="118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20"/>
                <w:szCs w:val="20"/>
              </w:rPr>
            </w:pPr>
            <w:r w:rsidRPr="00D0526E">
              <w:rPr>
                <w:b/>
                <w:bCs/>
                <w:color w:val="000000"/>
                <w:sz w:val="20"/>
                <w:szCs w:val="20"/>
              </w:rPr>
              <w:t>89.006.178</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20"/>
                <w:szCs w:val="20"/>
              </w:rPr>
            </w:pPr>
            <w:r w:rsidRPr="00D0526E">
              <w:rPr>
                <w:b/>
                <w:bCs/>
                <w:color w:val="000000"/>
                <w:sz w:val="20"/>
                <w:szCs w:val="20"/>
              </w:rPr>
              <w:t>101.687.762</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20"/>
                <w:szCs w:val="20"/>
              </w:rPr>
            </w:pPr>
            <w:r w:rsidRPr="00D0526E">
              <w:rPr>
                <w:b/>
                <w:bCs/>
                <w:color w:val="000000"/>
                <w:sz w:val="20"/>
                <w:szCs w:val="20"/>
              </w:rPr>
              <w:t>115.911.825</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b/>
                <w:bCs/>
                <w:color w:val="000000"/>
                <w:sz w:val="20"/>
                <w:szCs w:val="20"/>
              </w:rPr>
            </w:pPr>
            <w:r w:rsidRPr="00D0526E">
              <w:rPr>
                <w:b/>
                <w:bCs/>
                <w:color w:val="000000"/>
                <w:sz w:val="20"/>
                <w:szCs w:val="20"/>
              </w:rPr>
              <w:t>132.387.312</w:t>
            </w:r>
          </w:p>
        </w:tc>
      </w:tr>
      <w:tr w:rsidR="009E4100" w:rsidRPr="00D0526E" w:rsidTr="00B67F32">
        <w:trPr>
          <w:trHeight w:val="300"/>
          <w:jc w:val="center"/>
        </w:trPr>
        <w:tc>
          <w:tcPr>
            <w:tcW w:w="2577"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rPr>
                <w:color w:val="000000"/>
                <w:sz w:val="20"/>
                <w:szCs w:val="20"/>
              </w:rPr>
            </w:pPr>
            <w:r w:rsidRPr="00D0526E">
              <w:rPr>
                <w:color w:val="000000"/>
                <w:sz w:val="20"/>
                <w:szCs w:val="20"/>
              </w:rPr>
              <w:t>1.1. Kantonalni budžet</w:t>
            </w:r>
          </w:p>
        </w:tc>
        <w:tc>
          <w:tcPr>
            <w:tcW w:w="118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58.334.649</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66.646.159</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75.968.610</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86.766.644</w:t>
            </w:r>
          </w:p>
        </w:tc>
      </w:tr>
      <w:tr w:rsidR="009E4100" w:rsidRPr="00D0526E" w:rsidTr="00B67F32">
        <w:trPr>
          <w:trHeight w:val="300"/>
          <w:jc w:val="center"/>
        </w:trPr>
        <w:tc>
          <w:tcPr>
            <w:tcW w:w="2577" w:type="dxa"/>
            <w:tcBorders>
              <w:top w:val="nil"/>
              <w:left w:val="single" w:sz="4" w:space="0" w:color="auto"/>
              <w:bottom w:val="single" w:sz="4" w:space="0" w:color="auto"/>
              <w:right w:val="single" w:sz="4" w:space="0" w:color="auto"/>
            </w:tcBorders>
            <w:shd w:val="clear" w:color="000000" w:fill="FFFFFF"/>
            <w:vAlign w:val="center"/>
            <w:hideMark/>
          </w:tcPr>
          <w:p w:rsidR="009E4100" w:rsidRPr="00D0526E" w:rsidRDefault="009E4100" w:rsidP="00B67F32">
            <w:pPr>
              <w:rPr>
                <w:color w:val="000000"/>
                <w:sz w:val="20"/>
                <w:szCs w:val="20"/>
              </w:rPr>
            </w:pPr>
            <w:r w:rsidRPr="00D0526E">
              <w:rPr>
                <w:color w:val="000000"/>
                <w:sz w:val="20"/>
                <w:szCs w:val="20"/>
              </w:rPr>
              <w:t>1.2. Općinski/gradski budžeti</w:t>
            </w:r>
          </w:p>
        </w:tc>
        <w:tc>
          <w:tcPr>
            <w:tcW w:w="118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30.671.529</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35.041.603</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39.943.215</w:t>
            </w:r>
          </w:p>
        </w:tc>
        <w:tc>
          <w:tcPr>
            <w:tcW w:w="1300" w:type="dxa"/>
            <w:tcBorders>
              <w:top w:val="nil"/>
              <w:left w:val="nil"/>
              <w:bottom w:val="single" w:sz="4" w:space="0" w:color="auto"/>
              <w:right w:val="single" w:sz="4" w:space="0" w:color="auto"/>
            </w:tcBorders>
            <w:shd w:val="clear" w:color="000000" w:fill="FFFFFF"/>
            <w:vAlign w:val="center"/>
            <w:hideMark/>
          </w:tcPr>
          <w:p w:rsidR="009E4100" w:rsidRPr="00D0526E" w:rsidRDefault="009E4100" w:rsidP="00B67F32">
            <w:pPr>
              <w:jc w:val="right"/>
              <w:rPr>
                <w:color w:val="000000"/>
                <w:sz w:val="20"/>
                <w:szCs w:val="20"/>
              </w:rPr>
            </w:pPr>
            <w:r w:rsidRPr="00D0526E">
              <w:rPr>
                <w:color w:val="000000"/>
                <w:sz w:val="20"/>
                <w:szCs w:val="20"/>
              </w:rPr>
              <w:t>45.620.668</w:t>
            </w:r>
          </w:p>
        </w:tc>
      </w:tr>
    </w:tbl>
    <w:p w:rsidR="009E4100" w:rsidRPr="00D0526E" w:rsidRDefault="009E4100" w:rsidP="009E4100">
      <w:pPr>
        <w:pStyle w:val="Default"/>
        <w:ind w:firstLine="720"/>
        <w:jc w:val="both"/>
        <w:rPr>
          <w:rFonts w:ascii="Times New Roman" w:hAnsi="Times New Roman" w:cs="Times New Roman"/>
          <w:sz w:val="16"/>
          <w:szCs w:val="16"/>
        </w:rPr>
      </w:pPr>
      <w:r w:rsidRPr="00D0526E">
        <w:rPr>
          <w:rFonts w:ascii="Times New Roman" w:hAnsi="Times New Roman" w:cs="Times New Roman"/>
          <w:sz w:val="16"/>
          <w:szCs w:val="16"/>
        </w:rPr>
        <w:t>Izvor: Sektor za poreznu politiku i javne prihode Federalnog ministarstva finansija</w:t>
      </w:r>
    </w:p>
    <w:p w:rsidR="009E4100" w:rsidRPr="00D0526E" w:rsidRDefault="009E4100" w:rsidP="009E4100">
      <w:pPr>
        <w:pStyle w:val="Default"/>
        <w:ind w:firstLine="720"/>
        <w:jc w:val="both"/>
        <w:rPr>
          <w:rFonts w:ascii="Times New Roman" w:hAnsi="Times New Roman" w:cs="Times New Roman"/>
          <w:sz w:val="16"/>
          <w:szCs w:val="16"/>
        </w:rPr>
      </w:pPr>
    </w:p>
    <w:p w:rsidR="009E4100" w:rsidRPr="00D0526E" w:rsidRDefault="009E4100" w:rsidP="009E4100">
      <w:pPr>
        <w:pStyle w:val="Default"/>
        <w:ind w:firstLine="720"/>
        <w:jc w:val="both"/>
        <w:rPr>
          <w:rFonts w:ascii="Times New Roman" w:hAnsi="Times New Roman" w:cs="Times New Roman"/>
          <w:sz w:val="16"/>
          <w:szCs w:val="16"/>
        </w:rPr>
      </w:pPr>
    </w:p>
    <w:p w:rsidR="009E4100" w:rsidRPr="00D0526E" w:rsidRDefault="009E4100" w:rsidP="009E4100">
      <w:pPr>
        <w:pStyle w:val="Default"/>
        <w:ind w:firstLine="720"/>
        <w:jc w:val="both"/>
        <w:rPr>
          <w:rFonts w:ascii="Times New Roman" w:hAnsi="Times New Roman" w:cs="Times New Roman"/>
          <w:sz w:val="16"/>
          <w:szCs w:val="16"/>
        </w:rPr>
      </w:pPr>
    </w:p>
    <w:p w:rsidR="009E4100" w:rsidRPr="00B2086E" w:rsidRDefault="009E4100" w:rsidP="009E4100">
      <w:pPr>
        <w:pStyle w:val="Default"/>
        <w:ind w:firstLine="720"/>
        <w:jc w:val="both"/>
        <w:rPr>
          <w:rFonts w:ascii="Times New Roman" w:hAnsi="Times New Roman" w:cs="Times New Roman"/>
          <w:color w:val="auto"/>
          <w:sz w:val="16"/>
          <w:szCs w:val="16"/>
        </w:rPr>
      </w:pPr>
    </w:p>
    <w:p w:rsidR="006C43E3" w:rsidRPr="00B2086E" w:rsidRDefault="00B2086E" w:rsidP="00416ADA">
      <w:pPr>
        <w:pStyle w:val="ListParagraph"/>
        <w:numPr>
          <w:ilvl w:val="0"/>
          <w:numId w:val="36"/>
        </w:numPr>
        <w:shd w:val="clear" w:color="auto" w:fill="FFFFFF" w:themeFill="background1"/>
        <w:jc w:val="both"/>
        <w:rPr>
          <w:rFonts w:ascii="Times New Roman" w:hAnsi="Times New Roman"/>
          <w:b/>
          <w:lang w:val="hr-BA"/>
        </w:rPr>
      </w:pPr>
      <w:r w:rsidRPr="00B2086E">
        <w:rPr>
          <w:rFonts w:ascii="Times New Roman" w:hAnsi="Times New Roman"/>
          <w:b/>
          <w:lang w:val="hr-BA"/>
        </w:rPr>
        <w:t>PROJEKCIJA</w:t>
      </w:r>
      <w:r w:rsidR="006C43E3" w:rsidRPr="00B2086E">
        <w:rPr>
          <w:rFonts w:ascii="Times New Roman" w:hAnsi="Times New Roman"/>
          <w:b/>
          <w:lang w:val="hr-BA"/>
        </w:rPr>
        <w:t xml:space="preserve"> PRIHODA BUDŽETA </w:t>
      </w:r>
      <w:r w:rsidR="00C86A74" w:rsidRPr="00B2086E">
        <w:rPr>
          <w:rFonts w:ascii="Times New Roman" w:hAnsi="Times New Roman"/>
          <w:b/>
          <w:lang w:val="hr-BA"/>
        </w:rPr>
        <w:t xml:space="preserve">GRADA </w:t>
      </w:r>
      <w:r w:rsidR="00D15BFB" w:rsidRPr="00B2086E">
        <w:rPr>
          <w:rFonts w:ascii="Times New Roman" w:hAnsi="Times New Roman"/>
          <w:b/>
          <w:lang w:val="hr-BA"/>
        </w:rPr>
        <w:t xml:space="preserve"> ZAVIDOVIĆI</w:t>
      </w:r>
      <w:r w:rsidRPr="00B2086E">
        <w:rPr>
          <w:rFonts w:ascii="Times New Roman" w:hAnsi="Times New Roman"/>
          <w:b/>
          <w:lang w:val="hr-BA"/>
        </w:rPr>
        <w:t xml:space="preserve"> ZA PERIOD 2022.-2026. GODINE</w:t>
      </w:r>
    </w:p>
    <w:p w:rsidR="006C43E3" w:rsidRDefault="006C43E3" w:rsidP="003B1475">
      <w:pPr>
        <w:shd w:val="clear" w:color="auto" w:fill="FFFFFF" w:themeFill="background1"/>
        <w:jc w:val="both"/>
        <w:rPr>
          <w:b/>
          <w:color w:val="FF0000"/>
          <w:lang w:val="hr-BA"/>
        </w:rPr>
      </w:pPr>
    </w:p>
    <w:p w:rsidR="00416ADA" w:rsidRPr="002F6403" w:rsidRDefault="00416ADA" w:rsidP="00416ADA">
      <w:pPr>
        <w:ind w:firstLine="720"/>
        <w:jc w:val="both"/>
        <w:rPr>
          <w:lang w:val="hr-BA"/>
        </w:rPr>
      </w:pPr>
      <w:r w:rsidRPr="002F6403">
        <w:rPr>
          <w:lang w:val="hr-BA"/>
        </w:rPr>
        <w:t>Ukupni prihodi i primici u Budžetu Grada Zavidovići u 2023. godini planirani su u iznosu od 14.676.779,41 KM</w:t>
      </w:r>
      <w:r w:rsidRPr="002F6403">
        <w:t>,</w:t>
      </w:r>
      <w:r w:rsidRPr="002F6403">
        <w:rPr>
          <w:lang w:val="hr-BA"/>
        </w:rPr>
        <w:t xml:space="preserve"> ostvareni prihodi i primici u 2022. godini iznose 14.260.213,00 KM.</w:t>
      </w:r>
    </w:p>
    <w:p w:rsidR="00416ADA" w:rsidRPr="002F6403" w:rsidRDefault="00416ADA" w:rsidP="00416ADA">
      <w:pPr>
        <w:ind w:firstLine="720"/>
        <w:jc w:val="both"/>
        <w:rPr>
          <w:lang w:val="hr-BA"/>
        </w:rPr>
      </w:pPr>
      <w:r w:rsidRPr="002F6403">
        <w:rPr>
          <w:lang w:val="hr-BA"/>
        </w:rPr>
        <w:t xml:space="preserve">Prihodi  i primici za 2024. godinu procjenjuju se u iznosu od  </w:t>
      </w:r>
      <w:r>
        <w:rPr>
          <w:lang w:val="hr-BA"/>
        </w:rPr>
        <w:t>15.151.005,00</w:t>
      </w:r>
      <w:r w:rsidRPr="002F6403">
        <w:rPr>
          <w:lang w:val="hr-BA"/>
        </w:rPr>
        <w:t xml:space="preserve">  KM.</w:t>
      </w:r>
    </w:p>
    <w:p w:rsidR="00416ADA" w:rsidRPr="002F6403" w:rsidRDefault="00416ADA" w:rsidP="00416ADA">
      <w:pPr>
        <w:ind w:firstLine="709"/>
        <w:jc w:val="both"/>
        <w:rPr>
          <w:lang w:val="hr-BA"/>
        </w:rPr>
      </w:pPr>
      <w:r w:rsidRPr="002F6403">
        <w:rPr>
          <w:lang w:val="hr-BA"/>
        </w:rPr>
        <w:lastRenderedPageBreak/>
        <w:t>U tabeli koja slijedi navedene su projekcije prihoda  i primitaka za Budžet Grada Zavidovići za period 20</w:t>
      </w:r>
      <w:r w:rsidRPr="002F6403">
        <w:t>22</w:t>
      </w:r>
      <w:r w:rsidRPr="002F6403">
        <w:rPr>
          <w:lang w:val="hr-BA"/>
        </w:rPr>
        <w:t xml:space="preserve">. - 2026. godine. </w:t>
      </w:r>
    </w:p>
    <w:p w:rsidR="00416ADA" w:rsidRPr="002F6403" w:rsidRDefault="00416ADA" w:rsidP="00416ADA">
      <w:pPr>
        <w:ind w:firstLine="709"/>
        <w:jc w:val="both"/>
        <w:rPr>
          <w:lang w:val="hr-BA"/>
        </w:rPr>
      </w:pPr>
    </w:p>
    <w:tbl>
      <w:tblPr>
        <w:tblW w:w="8931" w:type="dxa"/>
        <w:tblInd w:w="108" w:type="dxa"/>
        <w:tblLook w:val="04A0"/>
      </w:tblPr>
      <w:tblGrid>
        <w:gridCol w:w="403"/>
        <w:gridCol w:w="1776"/>
        <w:gridCol w:w="1365"/>
        <w:gridCol w:w="1418"/>
        <w:gridCol w:w="1417"/>
        <w:gridCol w:w="1418"/>
        <w:gridCol w:w="1136"/>
      </w:tblGrid>
      <w:tr w:rsidR="007B27F2" w:rsidRPr="00D921AC" w:rsidTr="007B27F2">
        <w:trPr>
          <w:trHeight w:val="225"/>
        </w:trPr>
        <w:tc>
          <w:tcPr>
            <w:tcW w:w="403" w:type="dxa"/>
            <w:tcBorders>
              <w:top w:val="nil"/>
              <w:left w:val="nil"/>
              <w:bottom w:val="nil"/>
              <w:right w:val="nil"/>
            </w:tcBorders>
            <w:shd w:val="clear" w:color="000000" w:fill="FFFFFF"/>
            <w:noWrap/>
            <w:vAlign w:val="bottom"/>
            <w:hideMark/>
          </w:tcPr>
          <w:p w:rsidR="007B27F2" w:rsidRDefault="007B27F2">
            <w:pPr>
              <w:rPr>
                <w:b/>
                <w:bCs/>
                <w:sz w:val="16"/>
                <w:szCs w:val="16"/>
              </w:rPr>
            </w:pPr>
            <w:r>
              <w:rPr>
                <w:b/>
                <w:bCs/>
                <w:sz w:val="16"/>
                <w:szCs w:val="16"/>
              </w:rPr>
              <w:t> </w:t>
            </w:r>
          </w:p>
        </w:tc>
        <w:tc>
          <w:tcPr>
            <w:tcW w:w="1776" w:type="dxa"/>
            <w:tcBorders>
              <w:top w:val="nil"/>
              <w:left w:val="nil"/>
              <w:bottom w:val="nil"/>
              <w:right w:val="nil"/>
            </w:tcBorders>
            <w:shd w:val="clear" w:color="000000" w:fill="FFFFFF"/>
            <w:noWrap/>
            <w:vAlign w:val="bottom"/>
            <w:hideMark/>
          </w:tcPr>
          <w:p w:rsidR="007B27F2" w:rsidRDefault="007B27F2">
            <w:pPr>
              <w:rPr>
                <w:sz w:val="16"/>
                <w:szCs w:val="16"/>
              </w:rPr>
            </w:pPr>
            <w:r>
              <w:rPr>
                <w:sz w:val="16"/>
                <w:szCs w:val="16"/>
              </w:rPr>
              <w:t> </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Ostvareno 2022.</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Plan Budžeta 2023.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Projekcija 2024.</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Projekcija 2025.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Projekcija 2026.</w:t>
            </w:r>
          </w:p>
        </w:tc>
      </w:tr>
      <w:tr w:rsidR="007B27F2" w:rsidRPr="00D921AC" w:rsidTr="007B27F2">
        <w:trPr>
          <w:trHeight w:val="225"/>
        </w:trPr>
        <w:tc>
          <w:tcPr>
            <w:tcW w:w="4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I</w:t>
            </w:r>
          </w:p>
        </w:tc>
        <w:tc>
          <w:tcPr>
            <w:tcW w:w="1776"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rPr>
                <w:b/>
                <w:bCs/>
                <w:sz w:val="16"/>
                <w:szCs w:val="16"/>
              </w:rPr>
            </w:pPr>
            <w:r>
              <w:rPr>
                <w:b/>
                <w:bCs/>
                <w:sz w:val="16"/>
                <w:szCs w:val="16"/>
              </w:rPr>
              <w:t xml:space="preserve">POREZI </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8.073.924,00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8.238.440,00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8.946.005,00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9.781.403,00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10.610.500,00</w:t>
            </w:r>
          </w:p>
        </w:tc>
      </w:tr>
      <w:tr w:rsidR="007B27F2" w:rsidRPr="00D921AC" w:rsidTr="007B27F2">
        <w:trPr>
          <w:trHeight w:val="450"/>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1</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Indirektni porezi sa Jedinstvenog računa</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5.532.208,00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5.552.240,00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5.819.955,00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6.310.853,00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6.750.000,00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2</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Porez  na  dohodak</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1.636.644,00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1.690.350,00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2.035.000,00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2.300.000,00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2.600.000,00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3</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Porez na dobit</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27,00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1.800,00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4</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Porezi građana</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905.042,00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994.000,00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1.090.000,00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1.170.000,00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1.260.000,00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5</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Ostali porezi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3,00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 </w:t>
            </w:r>
          </w:p>
        </w:tc>
      </w:tr>
      <w:tr w:rsidR="007B27F2" w:rsidRPr="00D921AC" w:rsidTr="007B27F2">
        <w:trPr>
          <w:trHeight w:val="225"/>
        </w:trPr>
        <w:tc>
          <w:tcPr>
            <w:tcW w:w="4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II</w:t>
            </w:r>
          </w:p>
        </w:tc>
        <w:tc>
          <w:tcPr>
            <w:tcW w:w="1776" w:type="dxa"/>
            <w:tcBorders>
              <w:top w:val="single" w:sz="4" w:space="0" w:color="auto"/>
              <w:left w:val="nil"/>
              <w:bottom w:val="single" w:sz="4" w:space="0" w:color="auto"/>
              <w:right w:val="single" w:sz="4" w:space="0" w:color="auto"/>
            </w:tcBorders>
            <w:shd w:val="clear" w:color="000000" w:fill="FFFFFF"/>
            <w:hideMark/>
          </w:tcPr>
          <w:p w:rsidR="007B27F2" w:rsidRDefault="007B27F2">
            <w:pPr>
              <w:rPr>
                <w:b/>
                <w:bCs/>
                <w:sz w:val="16"/>
                <w:szCs w:val="16"/>
              </w:rPr>
            </w:pPr>
            <w:r>
              <w:rPr>
                <w:b/>
                <w:bCs/>
                <w:sz w:val="16"/>
                <w:szCs w:val="16"/>
              </w:rPr>
              <w:t>NAKNADE I TAKSE</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1.290.793,00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2.074.952,00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2.000.000,00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2.100.000,00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2.150.000,00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1</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Naknade i takse</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1.290.793,00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2.074.952,00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2.000.000,00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2.100.000,00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2.150.000,00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III</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b/>
                <w:bCs/>
                <w:sz w:val="16"/>
                <w:szCs w:val="16"/>
              </w:rPr>
            </w:pPr>
            <w:r>
              <w:rPr>
                <w:b/>
                <w:bCs/>
                <w:sz w:val="16"/>
                <w:szCs w:val="16"/>
              </w:rPr>
              <w:t>NOVČANE KAZNE</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238.976,00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732.167,62</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705.000,00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705.000,00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705.000,00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1</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 xml:space="preserve">Novčane kazne </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38.857,00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3.200,00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5.000,00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2</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Ostali prihodi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200.119,00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728.967,62</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700.000,00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700.000,00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700.000,00</w:t>
            </w:r>
          </w:p>
        </w:tc>
      </w:tr>
      <w:tr w:rsidR="007B27F2" w:rsidRPr="00D921AC" w:rsidTr="007B27F2">
        <w:trPr>
          <w:trHeight w:val="420"/>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IV</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b/>
                <w:bCs/>
                <w:sz w:val="16"/>
                <w:szCs w:val="16"/>
              </w:rPr>
            </w:pPr>
            <w:r>
              <w:rPr>
                <w:b/>
                <w:bCs/>
                <w:sz w:val="16"/>
                <w:szCs w:val="16"/>
              </w:rPr>
              <w:t>OSTALI NEPORESKI PRIHODI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0,00</w:t>
            </w:r>
          </w:p>
        </w:tc>
      </w:tr>
      <w:tr w:rsidR="007B27F2" w:rsidRPr="00D921AC" w:rsidTr="007B27F2">
        <w:trPr>
          <w:trHeight w:val="450"/>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 </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Ostali neporeski prihodi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0,00</w:t>
            </w:r>
          </w:p>
        </w:tc>
      </w:tr>
      <w:tr w:rsidR="007B27F2" w:rsidRPr="00D921AC" w:rsidTr="007B27F2">
        <w:trPr>
          <w:trHeight w:val="420"/>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V</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b/>
                <w:bCs/>
                <w:sz w:val="16"/>
                <w:szCs w:val="16"/>
              </w:rPr>
            </w:pPr>
            <w:r>
              <w:rPr>
                <w:b/>
                <w:bCs/>
                <w:sz w:val="16"/>
                <w:szCs w:val="16"/>
              </w:rPr>
              <w:t>FINANSIRANJE I TRANSFERI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4.140.643,00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2.073.218,79</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3.000.000,00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3.200.000,00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3.500.000,00</w:t>
            </w:r>
          </w:p>
        </w:tc>
      </w:tr>
      <w:tr w:rsidR="007B27F2" w:rsidRPr="00D921AC" w:rsidTr="007B27F2">
        <w:trPr>
          <w:trHeight w:val="225"/>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1</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sz w:val="16"/>
                <w:szCs w:val="16"/>
              </w:rPr>
            </w:pPr>
            <w:r>
              <w:rPr>
                <w:sz w:val="16"/>
                <w:szCs w:val="16"/>
              </w:rPr>
              <w:t>TRANSFRI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4.140.643,00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2.073.218,79</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3.000.000,00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3.200.000,00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sz w:val="16"/>
                <w:szCs w:val="16"/>
              </w:rPr>
            </w:pPr>
            <w:r>
              <w:rPr>
                <w:sz w:val="16"/>
                <w:szCs w:val="16"/>
              </w:rPr>
              <w:t>3.500.000,00</w:t>
            </w:r>
          </w:p>
        </w:tc>
      </w:tr>
      <w:tr w:rsidR="007B27F2" w:rsidRPr="00D921AC" w:rsidTr="007B27F2">
        <w:trPr>
          <w:trHeight w:val="840"/>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b/>
                <w:bCs/>
                <w:sz w:val="16"/>
                <w:szCs w:val="16"/>
              </w:rPr>
            </w:pPr>
            <w:r>
              <w:rPr>
                <w:b/>
                <w:bCs/>
                <w:sz w:val="16"/>
                <w:szCs w:val="16"/>
              </w:rPr>
              <w:t>VI</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rPr>
                <w:b/>
                <w:bCs/>
                <w:sz w:val="16"/>
                <w:szCs w:val="16"/>
              </w:rPr>
            </w:pPr>
            <w:r>
              <w:rPr>
                <w:b/>
                <w:bCs/>
                <w:sz w:val="16"/>
                <w:szCs w:val="16"/>
              </w:rPr>
              <w:t>KAPITALNI PRIMICIOD PRODAJE STALNIH SREDSTAVA</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515.877,00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1.558.001,00</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Pr="007B27F2" w:rsidRDefault="007B27F2">
            <w:pPr>
              <w:jc w:val="right"/>
              <w:rPr>
                <w:b/>
                <w:sz w:val="16"/>
                <w:szCs w:val="16"/>
              </w:rPr>
            </w:pPr>
            <w:r w:rsidRPr="007B27F2">
              <w:rPr>
                <w:b/>
                <w:sz w:val="16"/>
                <w:szCs w:val="16"/>
              </w:rPr>
              <w:t>500.000,00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Pr="007B27F2" w:rsidRDefault="007B27F2">
            <w:pPr>
              <w:jc w:val="right"/>
              <w:rPr>
                <w:b/>
                <w:sz w:val="16"/>
                <w:szCs w:val="16"/>
              </w:rPr>
            </w:pPr>
            <w:r w:rsidRPr="007B27F2">
              <w:rPr>
                <w:b/>
                <w:sz w:val="16"/>
                <w:szCs w:val="16"/>
              </w:rPr>
              <w:t>500.000,00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Pr="007B27F2" w:rsidRDefault="007B27F2">
            <w:pPr>
              <w:jc w:val="right"/>
              <w:rPr>
                <w:b/>
                <w:sz w:val="16"/>
                <w:szCs w:val="16"/>
              </w:rPr>
            </w:pPr>
            <w:r w:rsidRPr="007B27F2">
              <w:rPr>
                <w:b/>
                <w:sz w:val="16"/>
                <w:szCs w:val="16"/>
              </w:rPr>
              <w:t>400.000,00</w:t>
            </w:r>
          </w:p>
        </w:tc>
      </w:tr>
      <w:tr w:rsidR="007B27F2" w:rsidRPr="00D921AC" w:rsidTr="007B27F2">
        <w:trPr>
          <w:trHeight w:val="420"/>
        </w:trPr>
        <w:tc>
          <w:tcPr>
            <w:tcW w:w="403" w:type="dxa"/>
            <w:tcBorders>
              <w:top w:val="nil"/>
              <w:left w:val="single" w:sz="4" w:space="0" w:color="auto"/>
              <w:bottom w:val="single" w:sz="4" w:space="0" w:color="auto"/>
              <w:right w:val="single" w:sz="4" w:space="0" w:color="auto"/>
            </w:tcBorders>
            <w:shd w:val="clear" w:color="000000" w:fill="FFFFFF"/>
            <w:noWrap/>
            <w:vAlign w:val="bottom"/>
            <w:hideMark/>
          </w:tcPr>
          <w:p w:rsidR="007B27F2" w:rsidRDefault="007B27F2">
            <w:pPr>
              <w:jc w:val="center"/>
              <w:rPr>
                <w:sz w:val="16"/>
                <w:szCs w:val="16"/>
              </w:rPr>
            </w:pPr>
            <w:r>
              <w:rPr>
                <w:sz w:val="16"/>
                <w:szCs w:val="16"/>
              </w:rPr>
              <w:t> </w:t>
            </w:r>
          </w:p>
        </w:tc>
        <w:tc>
          <w:tcPr>
            <w:tcW w:w="1776" w:type="dxa"/>
            <w:tcBorders>
              <w:top w:val="nil"/>
              <w:left w:val="nil"/>
              <w:bottom w:val="single" w:sz="4" w:space="0" w:color="auto"/>
              <w:right w:val="single" w:sz="4" w:space="0" w:color="auto"/>
            </w:tcBorders>
            <w:shd w:val="clear" w:color="000000" w:fill="FFFFFF"/>
            <w:hideMark/>
          </w:tcPr>
          <w:p w:rsidR="007B27F2" w:rsidRDefault="007B27F2">
            <w:pPr>
              <w:jc w:val="center"/>
              <w:rPr>
                <w:b/>
                <w:bCs/>
                <w:sz w:val="16"/>
                <w:szCs w:val="16"/>
              </w:rPr>
            </w:pPr>
            <w:r>
              <w:rPr>
                <w:b/>
                <w:bCs/>
                <w:sz w:val="16"/>
                <w:szCs w:val="16"/>
              </w:rPr>
              <w:t>UKUPNO (I+II+III+IV+V+VI)</w:t>
            </w:r>
          </w:p>
        </w:tc>
        <w:tc>
          <w:tcPr>
            <w:tcW w:w="1365"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14.260.213,00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14.676.779,41</w:t>
            </w:r>
          </w:p>
        </w:tc>
        <w:tc>
          <w:tcPr>
            <w:tcW w:w="1417"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15.151.005,00</w:t>
            </w:r>
          </w:p>
        </w:tc>
        <w:tc>
          <w:tcPr>
            <w:tcW w:w="1418"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16.286.403,00</w:t>
            </w:r>
          </w:p>
        </w:tc>
        <w:tc>
          <w:tcPr>
            <w:tcW w:w="1134" w:type="dxa"/>
            <w:tcBorders>
              <w:top w:val="nil"/>
              <w:left w:val="nil"/>
              <w:bottom w:val="single" w:sz="4" w:space="0" w:color="auto"/>
              <w:right w:val="single" w:sz="4" w:space="0" w:color="auto"/>
            </w:tcBorders>
            <w:shd w:val="clear" w:color="000000" w:fill="FFFFFF"/>
            <w:noWrap/>
            <w:vAlign w:val="bottom"/>
            <w:hideMark/>
          </w:tcPr>
          <w:p w:rsidR="007B27F2" w:rsidRDefault="007B27F2">
            <w:pPr>
              <w:jc w:val="right"/>
              <w:rPr>
                <w:b/>
                <w:bCs/>
                <w:sz w:val="16"/>
                <w:szCs w:val="16"/>
              </w:rPr>
            </w:pPr>
            <w:r>
              <w:rPr>
                <w:b/>
                <w:bCs/>
                <w:sz w:val="16"/>
                <w:szCs w:val="16"/>
              </w:rPr>
              <w:t>17.365.500,00</w:t>
            </w:r>
          </w:p>
        </w:tc>
      </w:tr>
    </w:tbl>
    <w:p w:rsidR="00416ADA" w:rsidRDefault="00416ADA" w:rsidP="003B1475">
      <w:pPr>
        <w:shd w:val="clear" w:color="auto" w:fill="FFFFFF" w:themeFill="background1"/>
        <w:jc w:val="both"/>
        <w:rPr>
          <w:b/>
          <w:color w:val="FF0000"/>
          <w:lang w:val="hr-BA"/>
        </w:rPr>
      </w:pPr>
    </w:p>
    <w:p w:rsidR="009876F8" w:rsidRPr="00CA441D" w:rsidRDefault="009876F8" w:rsidP="0041216D">
      <w:pPr>
        <w:shd w:val="clear" w:color="auto" w:fill="FFFFFF" w:themeFill="background1"/>
        <w:ind w:left="360"/>
        <w:jc w:val="both"/>
        <w:rPr>
          <w:b/>
          <w:lang w:val="hr-BA"/>
        </w:rPr>
      </w:pPr>
    </w:p>
    <w:p w:rsidR="0041216D" w:rsidRPr="00CA441D" w:rsidRDefault="0041216D" w:rsidP="009876F8">
      <w:pPr>
        <w:pStyle w:val="ListParagraph"/>
        <w:numPr>
          <w:ilvl w:val="0"/>
          <w:numId w:val="36"/>
        </w:numPr>
        <w:shd w:val="clear" w:color="auto" w:fill="FFFFFF" w:themeFill="background1"/>
        <w:jc w:val="both"/>
        <w:rPr>
          <w:rFonts w:ascii="Times New Roman" w:hAnsi="Times New Roman"/>
          <w:b/>
          <w:sz w:val="24"/>
          <w:szCs w:val="24"/>
          <w:lang w:val="hr-BA"/>
        </w:rPr>
      </w:pPr>
      <w:r w:rsidRPr="00CA441D">
        <w:rPr>
          <w:rFonts w:ascii="Times New Roman" w:hAnsi="Times New Roman"/>
          <w:b/>
          <w:sz w:val="24"/>
          <w:szCs w:val="24"/>
          <w:lang w:val="hr-BA"/>
        </w:rPr>
        <w:t>PROJEKCIJA RASHODA BUDŽETA GRADA  ZAVIDOVIĆI ZA PERIOD 2022.-2026. GODINE</w:t>
      </w:r>
    </w:p>
    <w:p w:rsidR="00416ADA" w:rsidRPr="00CA441D" w:rsidRDefault="00416ADA" w:rsidP="003B1475">
      <w:pPr>
        <w:shd w:val="clear" w:color="auto" w:fill="FFFFFF" w:themeFill="background1"/>
        <w:jc w:val="both"/>
        <w:rPr>
          <w:b/>
          <w:lang w:val="hr-BA"/>
        </w:rPr>
      </w:pPr>
    </w:p>
    <w:bookmarkEnd w:id="0"/>
    <w:bookmarkEnd w:id="1"/>
    <w:bookmarkEnd w:id="2"/>
    <w:bookmarkEnd w:id="3"/>
    <w:p w:rsidR="00852D8B" w:rsidRPr="00CA441D" w:rsidRDefault="00852D8B" w:rsidP="00852D8B">
      <w:pPr>
        <w:ind w:firstLine="720"/>
        <w:jc w:val="both"/>
        <w:rPr>
          <w:lang w:val="hr-BA"/>
        </w:rPr>
      </w:pPr>
      <w:r w:rsidRPr="00CA441D">
        <w:rPr>
          <w:lang w:val="hr-BA"/>
        </w:rPr>
        <w:t>U ovom poglavlju su sažeta glavna pitanja iz oblasti</w:t>
      </w:r>
      <w:r w:rsidR="00B67F32" w:rsidRPr="00CA441D">
        <w:rPr>
          <w:lang w:val="hr-BA"/>
        </w:rPr>
        <w:t xml:space="preserve"> upravljanja javnim sredstvima, </w:t>
      </w:r>
      <w:r w:rsidR="00BF40D9" w:rsidRPr="00CA441D">
        <w:rPr>
          <w:lang w:val="hr-BA"/>
        </w:rPr>
        <w:t xml:space="preserve">te se predlaže okvirna </w:t>
      </w:r>
      <w:r w:rsidRPr="00CA441D">
        <w:rPr>
          <w:lang w:val="hr-BA"/>
        </w:rPr>
        <w:t>struktur</w:t>
      </w:r>
      <w:r w:rsidR="00BF40D9" w:rsidRPr="00CA441D">
        <w:rPr>
          <w:lang w:val="hr-HR"/>
        </w:rPr>
        <w:t>a</w:t>
      </w:r>
      <w:r w:rsidRPr="00CA441D">
        <w:rPr>
          <w:lang w:val="hr-BA"/>
        </w:rPr>
        <w:t xml:space="preserve"> </w:t>
      </w:r>
      <w:r w:rsidRPr="00CA441D">
        <w:rPr>
          <w:lang w:val="hr-HR"/>
        </w:rPr>
        <w:t xml:space="preserve">budžeta s osvrtom na </w:t>
      </w:r>
      <w:r w:rsidRPr="00CA441D">
        <w:rPr>
          <w:lang w:val="hr-BA"/>
        </w:rPr>
        <w:t>pla</w:t>
      </w:r>
      <w:r w:rsidRPr="00CA441D">
        <w:rPr>
          <w:lang w:val="hr-HR"/>
        </w:rPr>
        <w:t>ć</w:t>
      </w:r>
      <w:r w:rsidRPr="00CA441D">
        <w:rPr>
          <w:lang w:val="hr-BA"/>
        </w:rPr>
        <w:t>e</w:t>
      </w:r>
      <w:r w:rsidRPr="00CA441D">
        <w:rPr>
          <w:lang w:val="hr-HR"/>
        </w:rPr>
        <w:t xml:space="preserve"> i naknade</w:t>
      </w:r>
      <w:r w:rsidRPr="00CA441D">
        <w:rPr>
          <w:lang w:val="hr-BA"/>
        </w:rPr>
        <w:t>, materijalne troškove,</w:t>
      </w:r>
      <w:r w:rsidRPr="00CA441D">
        <w:rPr>
          <w:lang w:val="hr-HR"/>
        </w:rPr>
        <w:t xml:space="preserve"> transfere i</w:t>
      </w:r>
      <w:r w:rsidRPr="00CA441D">
        <w:rPr>
          <w:lang w:val="hr-BA"/>
        </w:rPr>
        <w:t xml:space="preserve"> </w:t>
      </w:r>
      <w:r w:rsidRPr="00CA441D">
        <w:rPr>
          <w:lang w:val="hr-HR"/>
        </w:rPr>
        <w:t>k</w:t>
      </w:r>
      <w:r w:rsidRPr="00CA441D">
        <w:rPr>
          <w:lang w:val="hr-BA"/>
        </w:rPr>
        <w:t>apitaln</w:t>
      </w:r>
      <w:r w:rsidRPr="00CA441D">
        <w:rPr>
          <w:lang w:val="hr-HR"/>
        </w:rPr>
        <w:t>e</w:t>
      </w:r>
      <w:r w:rsidRPr="00CA441D">
        <w:rPr>
          <w:lang w:val="hr-BA"/>
        </w:rPr>
        <w:t xml:space="preserve"> izdatke. </w:t>
      </w:r>
    </w:p>
    <w:p w:rsidR="0076653A" w:rsidRPr="00CA441D" w:rsidRDefault="00BF40D9" w:rsidP="0076653A">
      <w:pPr>
        <w:jc w:val="both"/>
        <w:rPr>
          <w:lang w:val="hr-HR"/>
        </w:rPr>
      </w:pPr>
      <w:r w:rsidRPr="00CA441D">
        <w:rPr>
          <w:lang w:val="hr-HR"/>
        </w:rPr>
        <w:tab/>
        <w:t>Raspoloživa sredstva lokalne samouprave su uvijek manja od sredstava potrebnih da se ostvare svi ciljevi zajednice, pa se kontinuirano moraju analizirati prioritetne potrebe i donositi odluke</w:t>
      </w:r>
      <w:r w:rsidR="00884896">
        <w:rPr>
          <w:lang w:val="hr-HR"/>
        </w:rPr>
        <w:t xml:space="preserve"> koje će </w:t>
      </w:r>
      <w:r w:rsidR="005E1B60">
        <w:rPr>
          <w:lang w:val="hr-HR"/>
        </w:rPr>
        <w:t>biti pretpostavka,</w:t>
      </w:r>
      <w:r w:rsidR="00884896">
        <w:rPr>
          <w:lang w:val="hr-HR"/>
        </w:rPr>
        <w:t xml:space="preserve"> da se ostvare prioritetni ciljevi.</w:t>
      </w:r>
    </w:p>
    <w:p w:rsidR="00BF40D9" w:rsidRPr="00CA441D" w:rsidRDefault="00BF40D9" w:rsidP="00BF40D9">
      <w:pPr>
        <w:ind w:firstLine="720"/>
        <w:jc w:val="both"/>
        <w:rPr>
          <w:lang w:val="hr-HR"/>
        </w:rPr>
      </w:pPr>
      <w:r w:rsidRPr="00CA441D">
        <w:rPr>
          <w:lang w:val="hr-BA"/>
        </w:rPr>
        <w:t>U skladu s prognozom prihoda za period 2024.-2026. godine, urađene su i projekcije budžetske potrošnje po ekonomskoj klasifikaciji za period 20</w:t>
      </w:r>
      <w:r w:rsidRPr="00CA441D">
        <w:rPr>
          <w:lang w:val="hr-HR"/>
        </w:rPr>
        <w:t>24</w:t>
      </w:r>
      <w:r w:rsidRPr="00CA441D">
        <w:rPr>
          <w:lang w:val="hr-BA"/>
        </w:rPr>
        <w:t>. – 2026. godin</w:t>
      </w:r>
      <w:r w:rsidRPr="00CA441D">
        <w:rPr>
          <w:lang w:val="hr-HR"/>
        </w:rPr>
        <w:t>a.</w:t>
      </w:r>
    </w:p>
    <w:p w:rsidR="00BF40D9" w:rsidRPr="00CA441D" w:rsidRDefault="00BF40D9" w:rsidP="0076653A">
      <w:pPr>
        <w:ind w:firstLine="709"/>
        <w:jc w:val="both"/>
        <w:rPr>
          <w:lang w:val="hr-BA"/>
        </w:rPr>
      </w:pPr>
    </w:p>
    <w:p w:rsidR="0076653A" w:rsidRPr="00CA441D" w:rsidRDefault="0076653A" w:rsidP="0076653A">
      <w:pPr>
        <w:ind w:firstLine="709"/>
        <w:jc w:val="both"/>
        <w:rPr>
          <w:lang w:val="hr-BA"/>
        </w:rPr>
      </w:pPr>
      <w:r w:rsidRPr="00CA441D">
        <w:rPr>
          <w:lang w:val="hr-BA"/>
        </w:rPr>
        <w:t>U tabeli koja slijedi navedene su projekcije rashoda i izdataka za Budžet Grada Zavidovići za period 20</w:t>
      </w:r>
      <w:r w:rsidRPr="00CA441D">
        <w:t>22</w:t>
      </w:r>
      <w:r w:rsidRPr="00CA441D">
        <w:rPr>
          <w:lang w:val="hr-BA"/>
        </w:rPr>
        <w:t xml:space="preserve">. - 2026. godine po ekonomskoj klasifikaciji: </w:t>
      </w:r>
    </w:p>
    <w:p w:rsidR="0076653A" w:rsidRPr="00CA441D" w:rsidRDefault="0076653A" w:rsidP="0076653A">
      <w:pPr>
        <w:jc w:val="both"/>
        <w:rPr>
          <w:lang w:val="hr-HR"/>
        </w:rPr>
      </w:pPr>
    </w:p>
    <w:p w:rsidR="00852D8B" w:rsidRPr="00CA441D" w:rsidRDefault="00852D8B" w:rsidP="00852D8B">
      <w:pPr>
        <w:jc w:val="both"/>
        <w:rPr>
          <w:b/>
          <w:lang w:val="pl-PL"/>
        </w:rPr>
      </w:pPr>
    </w:p>
    <w:tbl>
      <w:tblPr>
        <w:tblpPr w:leftFromText="180" w:rightFromText="180" w:vertAnchor="text" w:horzAnchor="margin" w:tblpXSpec="center" w:tblpY="-172"/>
        <w:tblW w:w="11537" w:type="dxa"/>
        <w:tblLayout w:type="fixed"/>
        <w:tblLook w:val="04A0"/>
      </w:tblPr>
      <w:tblGrid>
        <w:gridCol w:w="567"/>
        <w:gridCol w:w="272"/>
        <w:gridCol w:w="1146"/>
        <w:gridCol w:w="3085"/>
        <w:gridCol w:w="1275"/>
        <w:gridCol w:w="1418"/>
        <w:gridCol w:w="1365"/>
        <w:gridCol w:w="712"/>
        <w:gridCol w:w="474"/>
        <w:gridCol w:w="677"/>
        <w:gridCol w:w="546"/>
      </w:tblGrid>
      <w:tr w:rsidR="00996FC0" w:rsidRPr="00CA441D" w:rsidTr="0051053F">
        <w:trPr>
          <w:trHeight w:val="15"/>
        </w:trPr>
        <w:tc>
          <w:tcPr>
            <w:tcW w:w="839" w:type="dxa"/>
            <w:gridSpan w:val="2"/>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p>
        </w:tc>
        <w:tc>
          <w:tcPr>
            <w:tcW w:w="1146"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p>
        </w:tc>
        <w:tc>
          <w:tcPr>
            <w:tcW w:w="3085"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p>
        </w:tc>
        <w:tc>
          <w:tcPr>
            <w:tcW w:w="1275"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p>
        </w:tc>
        <w:tc>
          <w:tcPr>
            <w:tcW w:w="1418" w:type="dxa"/>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p>
        </w:tc>
        <w:tc>
          <w:tcPr>
            <w:tcW w:w="2077" w:type="dxa"/>
            <w:gridSpan w:val="2"/>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p>
        </w:tc>
        <w:tc>
          <w:tcPr>
            <w:tcW w:w="1151" w:type="dxa"/>
            <w:gridSpan w:val="2"/>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p>
        </w:tc>
        <w:tc>
          <w:tcPr>
            <w:tcW w:w="546" w:type="dxa"/>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p>
        </w:tc>
      </w:tr>
      <w:tr w:rsidR="00996FC0" w:rsidRPr="00CA441D" w:rsidTr="0051053F">
        <w:trPr>
          <w:trHeight w:val="80"/>
        </w:trPr>
        <w:tc>
          <w:tcPr>
            <w:tcW w:w="1985" w:type="dxa"/>
            <w:gridSpan w:val="3"/>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3085"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275"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418" w:type="dxa"/>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p>
        </w:tc>
        <w:tc>
          <w:tcPr>
            <w:tcW w:w="2077" w:type="dxa"/>
            <w:gridSpan w:val="2"/>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p>
        </w:tc>
        <w:tc>
          <w:tcPr>
            <w:tcW w:w="1151" w:type="dxa"/>
            <w:gridSpan w:val="2"/>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p>
        </w:tc>
        <w:tc>
          <w:tcPr>
            <w:tcW w:w="546" w:type="dxa"/>
            <w:tcBorders>
              <w:top w:val="nil"/>
              <w:left w:val="nil"/>
              <w:bottom w:val="nil"/>
              <w:right w:val="nil"/>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p>
        </w:tc>
      </w:tr>
      <w:tr w:rsidR="00996FC0" w:rsidRPr="00CA441D" w:rsidTr="0051053F">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R.B.</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Ekonomski</w:t>
            </w:r>
            <w:r w:rsidRPr="00CA441D">
              <w:rPr>
                <w:rFonts w:ascii="Arial" w:hAnsi="Arial" w:cs="Arial"/>
                <w:b/>
                <w:bCs/>
                <w:sz w:val="16"/>
                <w:szCs w:val="16"/>
                <w:lang w:val="hr-HR" w:eastAsia="hr-HR"/>
              </w:rPr>
              <w:br/>
              <w:t xml:space="preserve"> kod</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OSTVARENO 2022. GODINA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PLAN 2023. GODINA</w:t>
            </w:r>
          </w:p>
        </w:tc>
        <w:tc>
          <w:tcPr>
            <w:tcW w:w="37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PROJEKCIJA</w:t>
            </w:r>
          </w:p>
        </w:tc>
      </w:tr>
      <w:tr w:rsidR="00996FC0" w:rsidRPr="00CA441D" w:rsidTr="0051053F">
        <w:trPr>
          <w:trHeight w:val="22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96FC0" w:rsidRPr="00CA441D" w:rsidRDefault="00996FC0" w:rsidP="00996FC0">
            <w:pPr>
              <w:rPr>
                <w:rFonts w:ascii="Arial" w:hAnsi="Arial" w:cs="Arial"/>
                <w:b/>
                <w:bCs/>
                <w:sz w:val="16"/>
                <w:szCs w:val="16"/>
                <w:lang w:val="hr-HR" w:eastAsia="hr-HR"/>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96FC0" w:rsidRPr="00CA441D" w:rsidRDefault="00996FC0" w:rsidP="00996FC0">
            <w:pPr>
              <w:rPr>
                <w:rFonts w:ascii="Arial" w:hAnsi="Arial" w:cs="Arial"/>
                <w:b/>
                <w:bCs/>
                <w:sz w:val="16"/>
                <w:szCs w:val="16"/>
                <w:lang w:val="hr-HR" w:eastAsia="hr-HR"/>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996FC0" w:rsidRPr="00CA441D" w:rsidRDefault="00996FC0" w:rsidP="00996FC0">
            <w:pPr>
              <w:rPr>
                <w:rFonts w:ascii="Arial" w:hAnsi="Arial" w:cs="Arial"/>
                <w:b/>
                <w:bCs/>
                <w:sz w:val="16"/>
                <w:szCs w:val="16"/>
                <w:lang w:val="hr-HR" w:eastAsia="hr-H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6FC0" w:rsidRPr="00CA441D" w:rsidRDefault="00996FC0" w:rsidP="00996FC0">
            <w:pPr>
              <w:rPr>
                <w:rFonts w:ascii="Arial" w:hAnsi="Arial" w:cs="Arial"/>
                <w:b/>
                <w:bCs/>
                <w:sz w:val="16"/>
                <w:szCs w:val="16"/>
                <w:lang w:val="hr-HR" w:eastAsia="hr-H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6FC0" w:rsidRPr="00CA441D" w:rsidRDefault="00996FC0" w:rsidP="00996FC0">
            <w:pPr>
              <w:rPr>
                <w:rFonts w:ascii="Arial" w:hAnsi="Arial" w:cs="Arial"/>
                <w:b/>
                <w:bCs/>
                <w:sz w:val="16"/>
                <w:szCs w:val="16"/>
                <w:lang w:val="hr-HR" w:eastAsia="hr-HR"/>
              </w:rPr>
            </w:pP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2024. GODINA</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2025. GODINA</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2026.GODINA</w:t>
            </w:r>
          </w:p>
        </w:tc>
      </w:tr>
      <w:tr w:rsidR="00996FC0" w:rsidRPr="00CA441D" w:rsidTr="0051053F">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 </w:t>
            </w:r>
          </w:p>
        </w:tc>
        <w:tc>
          <w:tcPr>
            <w:tcW w:w="3085" w:type="dxa"/>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xml:space="preserve">UKUPNO PLAĆE I NAKNADE </w:t>
            </w:r>
            <w:r w:rsidRPr="00CA441D">
              <w:rPr>
                <w:rFonts w:ascii="Arial" w:hAnsi="Arial" w:cs="Arial"/>
                <w:b/>
                <w:bCs/>
                <w:sz w:val="16"/>
                <w:szCs w:val="16"/>
                <w:lang w:val="hr-HR" w:eastAsia="hr-HR"/>
              </w:rPr>
              <w:br/>
              <w:t>(2+3+4)</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3628310,00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3921806,35</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4250000,00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4654000,00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4920000,00</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611100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Bruto plaće</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2808997,00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3073146,75</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3367650,91</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3685557,16</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3879533,85</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611200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Naknade</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508817,00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499747,29</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500000,00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550000,00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600000,00</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612000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Doprinosi</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310496,00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348912,31</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382349,09</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418442,84</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440466,15</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613000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MATERIJALNI TROŠKOVI</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2143939,00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2448647,00</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2565000,00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2680000,00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2800000,00</w:t>
            </w:r>
          </w:p>
        </w:tc>
      </w:tr>
      <w:tr w:rsidR="00996FC0" w:rsidRPr="00CA441D" w:rsidTr="004C0A43">
        <w:trPr>
          <w:trHeight w:val="53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614000</w:t>
            </w:r>
          </w:p>
        </w:tc>
        <w:tc>
          <w:tcPr>
            <w:tcW w:w="3085" w:type="dxa"/>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TEKUĆI TRANSFERI I DRUGI TEKUĆI RASHODI</w:t>
            </w:r>
            <w:r w:rsidRPr="00CA441D">
              <w:rPr>
                <w:rFonts w:ascii="Arial" w:hAnsi="Arial" w:cs="Arial"/>
                <w:b/>
                <w:bCs/>
                <w:sz w:val="16"/>
                <w:szCs w:val="16"/>
                <w:lang w:val="hr-HR" w:eastAsia="hr-HR"/>
              </w:rPr>
              <w:br/>
              <w:t>(7+8+9+10)</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5274458,00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4394300,00</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067508" w:rsidP="00067508">
            <w:pPr>
              <w:jc w:val="center"/>
              <w:rPr>
                <w:rFonts w:ascii="Arial" w:hAnsi="Arial" w:cs="Arial"/>
                <w:b/>
                <w:bCs/>
                <w:sz w:val="16"/>
                <w:szCs w:val="16"/>
                <w:lang w:val="hr-HR" w:eastAsia="hr-HR"/>
              </w:rPr>
            </w:pPr>
            <w:r w:rsidRPr="00CA441D">
              <w:rPr>
                <w:rFonts w:ascii="Arial" w:hAnsi="Arial" w:cs="Arial"/>
                <w:b/>
                <w:bCs/>
                <w:sz w:val="16"/>
                <w:szCs w:val="16"/>
                <w:lang w:val="hr-HR" w:eastAsia="hr-HR"/>
              </w:rPr>
              <w:t>3.995.543,25</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067508">
            <w:pPr>
              <w:jc w:val="right"/>
              <w:rPr>
                <w:rFonts w:ascii="Arial" w:hAnsi="Arial" w:cs="Arial"/>
                <w:b/>
                <w:bCs/>
                <w:sz w:val="16"/>
                <w:szCs w:val="16"/>
                <w:lang w:val="hr-HR" w:eastAsia="hr-HR"/>
              </w:rPr>
            </w:pPr>
            <w:r w:rsidRPr="00CA441D">
              <w:rPr>
                <w:rFonts w:ascii="Arial" w:hAnsi="Arial" w:cs="Arial"/>
                <w:b/>
                <w:bCs/>
                <w:sz w:val="16"/>
                <w:szCs w:val="16"/>
                <w:lang w:val="hr-HR" w:eastAsia="hr-HR"/>
              </w:rPr>
              <w:t>44</w:t>
            </w:r>
            <w:r w:rsidR="00067508" w:rsidRPr="00CA441D">
              <w:rPr>
                <w:rFonts w:ascii="Arial" w:hAnsi="Arial" w:cs="Arial"/>
                <w:b/>
                <w:bCs/>
                <w:sz w:val="16"/>
                <w:szCs w:val="16"/>
                <w:lang w:val="hr-HR" w:eastAsia="hr-HR"/>
              </w:rPr>
              <w:t>07307,15</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067508">
            <w:pPr>
              <w:jc w:val="right"/>
              <w:rPr>
                <w:rFonts w:ascii="Arial" w:hAnsi="Arial" w:cs="Arial"/>
                <w:b/>
                <w:bCs/>
                <w:sz w:val="16"/>
                <w:szCs w:val="16"/>
                <w:lang w:val="hr-HR" w:eastAsia="hr-HR"/>
              </w:rPr>
            </w:pPr>
            <w:r w:rsidRPr="00CA441D">
              <w:rPr>
                <w:rFonts w:ascii="Arial" w:hAnsi="Arial" w:cs="Arial"/>
                <w:b/>
                <w:bCs/>
                <w:sz w:val="16"/>
                <w:szCs w:val="16"/>
                <w:lang w:val="hr-HR" w:eastAsia="hr-HR"/>
              </w:rPr>
              <w:t>4</w:t>
            </w:r>
            <w:r w:rsidR="00067508" w:rsidRPr="00CA441D">
              <w:rPr>
                <w:rFonts w:ascii="Arial" w:hAnsi="Arial" w:cs="Arial"/>
                <w:b/>
                <w:bCs/>
                <w:sz w:val="16"/>
                <w:szCs w:val="16"/>
                <w:lang w:val="hr-HR" w:eastAsia="hr-HR"/>
              </w:rPr>
              <w:t>699037,04</w:t>
            </w:r>
          </w:p>
        </w:tc>
      </w:tr>
      <w:tr w:rsidR="00996FC0" w:rsidRPr="00CA441D" w:rsidTr="0051053F">
        <w:trPr>
          <w:trHeight w:val="6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7</w:t>
            </w:r>
          </w:p>
        </w:tc>
        <w:tc>
          <w:tcPr>
            <w:tcW w:w="1418" w:type="dxa"/>
            <w:gridSpan w:val="2"/>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614400</w:t>
            </w:r>
            <w:r w:rsidRPr="00CA441D">
              <w:rPr>
                <w:rFonts w:ascii="Arial" w:hAnsi="Arial" w:cs="Arial"/>
                <w:sz w:val="16"/>
                <w:szCs w:val="16"/>
                <w:lang w:val="hr-HR" w:eastAsia="hr-HR"/>
              </w:rPr>
              <w:br/>
              <w:t>614500</w:t>
            </w:r>
            <w:r w:rsidRPr="00CA441D">
              <w:rPr>
                <w:rFonts w:ascii="Arial" w:hAnsi="Arial" w:cs="Arial"/>
                <w:sz w:val="16"/>
                <w:szCs w:val="16"/>
                <w:lang w:val="hr-HR" w:eastAsia="hr-HR"/>
              </w:rPr>
              <w:br/>
              <w:t>614600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Subvencije</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484060,00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722000,00</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500000,00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600000,00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650000,00</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614200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Transferi pojedincima</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1273163,00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1541000,00</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1500000,00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1700000,00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1800000,00</w:t>
            </w:r>
          </w:p>
        </w:tc>
      </w:tr>
      <w:tr w:rsidR="00996FC0" w:rsidRPr="00CA441D" w:rsidTr="0051053F">
        <w:trPr>
          <w:trHeight w:val="6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614100</w:t>
            </w:r>
          </w:p>
        </w:tc>
        <w:tc>
          <w:tcPr>
            <w:tcW w:w="3085" w:type="dxa"/>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Transferi drugim nivoima vlasti</w:t>
            </w:r>
            <w:r w:rsidRPr="00CA441D">
              <w:rPr>
                <w:rFonts w:ascii="Arial" w:hAnsi="Arial" w:cs="Arial"/>
                <w:sz w:val="16"/>
                <w:szCs w:val="16"/>
                <w:lang w:val="hr-HR" w:eastAsia="hr-HR"/>
              </w:rPr>
              <w:br/>
              <w:t xml:space="preserve"> i fondovima</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2926463,00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1593000,00</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1620000,00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1730000,00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1870000,00</w:t>
            </w:r>
          </w:p>
        </w:tc>
      </w:tr>
      <w:tr w:rsidR="00996FC0" w:rsidRPr="00CA441D" w:rsidTr="0051053F">
        <w:trPr>
          <w:trHeight w:val="6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614300</w:t>
            </w:r>
            <w:r w:rsidRPr="00CA441D">
              <w:rPr>
                <w:rFonts w:ascii="Arial" w:hAnsi="Arial" w:cs="Arial"/>
                <w:sz w:val="16"/>
                <w:szCs w:val="16"/>
                <w:lang w:val="hr-HR" w:eastAsia="hr-HR"/>
              </w:rPr>
              <w:br/>
              <w:t>614700</w:t>
            </w:r>
            <w:r w:rsidRPr="00CA441D">
              <w:rPr>
                <w:rFonts w:ascii="Arial" w:hAnsi="Arial" w:cs="Arial"/>
                <w:sz w:val="16"/>
                <w:szCs w:val="16"/>
                <w:lang w:val="hr-HR" w:eastAsia="hr-HR"/>
              </w:rPr>
              <w:br/>
              <w:t>614800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Ostali tekući transferi</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590772,00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sz w:val="16"/>
                <w:szCs w:val="16"/>
                <w:lang w:val="hr-HR" w:eastAsia="hr-HR"/>
              </w:rPr>
            </w:pPr>
            <w:r w:rsidRPr="00CA441D">
              <w:rPr>
                <w:rFonts w:ascii="Arial" w:hAnsi="Arial" w:cs="Arial"/>
                <w:sz w:val="16"/>
                <w:szCs w:val="16"/>
                <w:lang w:val="hr-HR" w:eastAsia="hr-HR"/>
              </w:rPr>
              <w:t>538300,00</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BC6F02" w:rsidP="00996FC0">
            <w:pPr>
              <w:jc w:val="right"/>
              <w:rPr>
                <w:rFonts w:ascii="Arial" w:hAnsi="Arial" w:cs="Arial"/>
                <w:sz w:val="16"/>
                <w:szCs w:val="16"/>
                <w:lang w:val="hr-HR" w:eastAsia="hr-HR"/>
              </w:rPr>
            </w:pPr>
            <w:r w:rsidRPr="00CA441D">
              <w:rPr>
                <w:rFonts w:ascii="Arial" w:hAnsi="Arial" w:cs="Arial"/>
                <w:sz w:val="16"/>
                <w:szCs w:val="16"/>
                <w:lang w:val="hr-HR" w:eastAsia="hr-HR"/>
              </w:rPr>
              <w:t>375543,25</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BC6F02" w:rsidP="00BC6F02">
            <w:pPr>
              <w:jc w:val="right"/>
              <w:rPr>
                <w:rFonts w:ascii="Arial" w:hAnsi="Arial" w:cs="Arial"/>
                <w:sz w:val="16"/>
                <w:szCs w:val="16"/>
                <w:lang w:val="hr-HR" w:eastAsia="hr-HR"/>
              </w:rPr>
            </w:pPr>
            <w:r w:rsidRPr="00CA441D">
              <w:rPr>
                <w:rFonts w:ascii="Arial" w:hAnsi="Arial" w:cs="Arial"/>
                <w:sz w:val="16"/>
                <w:szCs w:val="16"/>
                <w:lang w:val="hr-HR" w:eastAsia="hr-HR"/>
              </w:rPr>
              <w:t>377307,15</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BC6F02" w:rsidP="00996FC0">
            <w:pPr>
              <w:jc w:val="right"/>
              <w:rPr>
                <w:rFonts w:ascii="Arial" w:hAnsi="Arial" w:cs="Arial"/>
                <w:sz w:val="16"/>
                <w:szCs w:val="16"/>
                <w:lang w:val="hr-HR" w:eastAsia="hr-HR"/>
              </w:rPr>
            </w:pPr>
            <w:r w:rsidRPr="00CA441D">
              <w:rPr>
                <w:rFonts w:ascii="Arial" w:hAnsi="Arial" w:cs="Arial"/>
                <w:sz w:val="16"/>
                <w:szCs w:val="16"/>
                <w:lang w:val="hr-HR" w:eastAsia="hr-HR"/>
              </w:rPr>
              <w:t>379037,04</w:t>
            </w:r>
          </w:p>
        </w:tc>
      </w:tr>
      <w:tr w:rsidR="00996FC0" w:rsidRPr="00CA441D" w:rsidTr="0051053F">
        <w:trPr>
          <w:trHeight w:val="10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615100,615200</w:t>
            </w:r>
            <w:r w:rsidRPr="00CA441D">
              <w:rPr>
                <w:rFonts w:ascii="Arial" w:hAnsi="Arial" w:cs="Arial"/>
                <w:b/>
                <w:bCs/>
                <w:sz w:val="16"/>
                <w:szCs w:val="16"/>
                <w:lang w:val="hr-HR" w:eastAsia="hr-HR"/>
              </w:rPr>
              <w:br/>
              <w:t>615300,615400,615500,615600,615700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Kapitalni transferi</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253370,00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341114,52</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350000,00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400000,00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450000,00</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616000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Izdaci za  kamate</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w:t>
            </w:r>
          </w:p>
        </w:tc>
      </w:tr>
      <w:tr w:rsidR="00996FC0" w:rsidRPr="00CA441D" w:rsidTr="0051053F">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821000</w:t>
            </w:r>
          </w:p>
        </w:tc>
        <w:tc>
          <w:tcPr>
            <w:tcW w:w="3085" w:type="dxa"/>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 xml:space="preserve">Izdaci za nabavku stalnih </w:t>
            </w:r>
            <w:r w:rsidRPr="00CA441D">
              <w:rPr>
                <w:rFonts w:ascii="Arial" w:hAnsi="Arial" w:cs="Arial"/>
                <w:b/>
                <w:bCs/>
                <w:sz w:val="16"/>
                <w:szCs w:val="16"/>
                <w:lang w:val="hr-HR" w:eastAsia="hr-HR"/>
              </w:rPr>
              <w:br/>
              <w:t>sredstava</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2756085,00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3424718,79</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3866005,00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4022403,00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4375500,00</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823000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Izdaci za otplatu dugova</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76192,07</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D25DEA" w:rsidP="00D25DEA">
            <w:pPr>
              <w:jc w:val="center"/>
              <w:rPr>
                <w:rFonts w:ascii="Arial" w:hAnsi="Arial" w:cs="Arial"/>
                <w:b/>
                <w:bCs/>
                <w:sz w:val="16"/>
                <w:szCs w:val="16"/>
                <w:lang w:val="hr-HR" w:eastAsia="hr-HR"/>
              </w:rPr>
            </w:pPr>
            <w:r w:rsidRPr="00CA441D">
              <w:rPr>
                <w:rFonts w:ascii="Arial" w:hAnsi="Arial" w:cs="Arial"/>
                <w:b/>
                <w:bCs/>
                <w:sz w:val="16"/>
                <w:szCs w:val="16"/>
                <w:lang w:val="hr-HR" w:eastAsia="hr-HR"/>
              </w:rPr>
              <w:t>74456,75</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D25DEA"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72692,85</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D25DEA"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70962,96</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822000</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Izdaci za finansijsku imovinu</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 </w:t>
            </w:r>
          </w:p>
        </w:tc>
      </w:tr>
      <w:tr w:rsidR="00996FC0" w:rsidRPr="00CA441D" w:rsidTr="0051053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jc w:val="right"/>
              <w:rPr>
                <w:rFonts w:ascii="Arial" w:hAnsi="Arial" w:cs="Arial"/>
                <w:b/>
                <w:bCs/>
                <w:sz w:val="16"/>
                <w:szCs w:val="16"/>
                <w:lang w:val="hr-HR" w:eastAsia="hr-HR"/>
              </w:rPr>
            </w:pPr>
            <w:r w:rsidRPr="00CA441D">
              <w:rPr>
                <w:rFonts w:ascii="Arial" w:hAnsi="Arial" w:cs="Arial"/>
                <w:b/>
                <w:bCs/>
                <w:sz w:val="16"/>
                <w:szCs w:val="16"/>
                <w:lang w:val="hr-HR" w:eastAsia="hr-HR"/>
              </w:rPr>
              <w:t>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 </w:t>
            </w:r>
          </w:p>
        </w:tc>
        <w:tc>
          <w:tcPr>
            <w:tcW w:w="308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b/>
                <w:bCs/>
                <w:sz w:val="16"/>
                <w:szCs w:val="16"/>
                <w:lang w:val="hr-HR" w:eastAsia="hr-HR"/>
              </w:rPr>
            </w:pPr>
            <w:r w:rsidRPr="00CA441D">
              <w:rPr>
                <w:rFonts w:ascii="Arial" w:hAnsi="Arial" w:cs="Arial"/>
                <w:b/>
                <w:bCs/>
                <w:sz w:val="16"/>
                <w:szCs w:val="16"/>
                <w:lang w:val="hr-HR" w:eastAsia="hr-HR"/>
              </w:rPr>
              <w:t>Ostalo</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70000,68</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50000,00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50000,00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50000,00</w:t>
            </w:r>
          </w:p>
        </w:tc>
      </w:tr>
      <w:tr w:rsidR="00996FC0" w:rsidRPr="00CA441D" w:rsidTr="0051053F">
        <w:trPr>
          <w:trHeight w:val="1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996FC0">
            <w:pPr>
              <w:rPr>
                <w:rFonts w:ascii="Arial" w:hAnsi="Arial" w:cs="Arial"/>
                <w:sz w:val="16"/>
                <w:szCs w:val="16"/>
                <w:lang w:val="hr-HR" w:eastAsia="hr-HR"/>
              </w:rPr>
            </w:pPr>
            <w:r w:rsidRPr="00CA441D">
              <w:rPr>
                <w:rFonts w:ascii="Arial" w:hAnsi="Arial" w:cs="Arial"/>
                <w:sz w:val="16"/>
                <w:szCs w:val="16"/>
                <w:lang w:val="hr-HR" w:eastAsia="hr-HR"/>
              </w:rPr>
              <w:t> </w:t>
            </w:r>
          </w:p>
        </w:tc>
        <w:tc>
          <w:tcPr>
            <w:tcW w:w="3085" w:type="dxa"/>
            <w:tcBorders>
              <w:top w:val="nil"/>
              <w:left w:val="nil"/>
              <w:bottom w:val="single" w:sz="4" w:space="0" w:color="auto"/>
              <w:right w:val="single" w:sz="4" w:space="0" w:color="auto"/>
            </w:tcBorders>
            <w:shd w:val="clear" w:color="auto" w:fill="auto"/>
            <w:vAlign w:val="bottom"/>
            <w:hideMark/>
          </w:tcPr>
          <w:p w:rsidR="00996FC0" w:rsidRPr="00CA441D" w:rsidRDefault="00996FC0" w:rsidP="00996FC0">
            <w:pPr>
              <w:jc w:val="center"/>
              <w:rPr>
                <w:rFonts w:ascii="Arial" w:hAnsi="Arial" w:cs="Arial"/>
                <w:b/>
                <w:bCs/>
                <w:sz w:val="16"/>
                <w:szCs w:val="16"/>
                <w:lang w:val="hr-HR" w:eastAsia="hr-HR"/>
              </w:rPr>
            </w:pPr>
            <w:r w:rsidRPr="00CA441D">
              <w:rPr>
                <w:rFonts w:ascii="Arial" w:hAnsi="Arial" w:cs="Arial"/>
                <w:b/>
                <w:bCs/>
                <w:sz w:val="16"/>
                <w:szCs w:val="16"/>
                <w:lang w:val="hr-HR" w:eastAsia="hr-HR"/>
              </w:rPr>
              <w:t>UKUPNO (1+5+6+11+12+13+14+15+16)</w:t>
            </w:r>
          </w:p>
        </w:tc>
        <w:tc>
          <w:tcPr>
            <w:tcW w:w="127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14056162,00</w:t>
            </w:r>
          </w:p>
        </w:tc>
        <w:tc>
          <w:tcPr>
            <w:tcW w:w="1418"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14676779,41</w:t>
            </w:r>
          </w:p>
        </w:tc>
        <w:tc>
          <w:tcPr>
            <w:tcW w:w="1365" w:type="dxa"/>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15151005,00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16286403,00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996FC0" w:rsidRPr="00CA441D" w:rsidRDefault="00996FC0" w:rsidP="0037704F">
            <w:pPr>
              <w:jc w:val="right"/>
              <w:rPr>
                <w:rFonts w:ascii="Arial" w:hAnsi="Arial" w:cs="Arial"/>
                <w:b/>
                <w:bCs/>
                <w:sz w:val="16"/>
                <w:szCs w:val="16"/>
                <w:lang w:val="hr-HR" w:eastAsia="hr-HR"/>
              </w:rPr>
            </w:pPr>
            <w:r w:rsidRPr="00CA441D">
              <w:rPr>
                <w:rFonts w:ascii="Arial" w:hAnsi="Arial" w:cs="Arial"/>
                <w:b/>
                <w:bCs/>
                <w:sz w:val="16"/>
                <w:szCs w:val="16"/>
                <w:lang w:val="hr-HR" w:eastAsia="hr-HR"/>
              </w:rPr>
              <w:t>17365500,00</w:t>
            </w:r>
          </w:p>
        </w:tc>
      </w:tr>
    </w:tbl>
    <w:p w:rsidR="009876F8" w:rsidRPr="00CA441D" w:rsidRDefault="009876F8" w:rsidP="00852D8B">
      <w:pPr>
        <w:jc w:val="both"/>
        <w:rPr>
          <w:b/>
          <w:lang w:val="pl-PL"/>
        </w:rPr>
      </w:pPr>
    </w:p>
    <w:tbl>
      <w:tblPr>
        <w:tblW w:w="12335" w:type="dxa"/>
        <w:tblInd w:w="108" w:type="dxa"/>
        <w:tblLook w:val="04A0"/>
      </w:tblPr>
      <w:tblGrid>
        <w:gridCol w:w="839"/>
        <w:gridCol w:w="3064"/>
        <w:gridCol w:w="2405"/>
        <w:gridCol w:w="1230"/>
        <w:gridCol w:w="1180"/>
        <w:gridCol w:w="1180"/>
        <w:gridCol w:w="1180"/>
        <w:gridCol w:w="1257"/>
      </w:tblGrid>
      <w:tr w:rsidR="00996FC0" w:rsidRPr="00CA441D" w:rsidTr="00996FC0">
        <w:trPr>
          <w:trHeight w:val="225"/>
        </w:trPr>
        <w:tc>
          <w:tcPr>
            <w:tcW w:w="839"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3064"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2405"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23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18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18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18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257"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r>
      <w:tr w:rsidR="00996FC0" w:rsidRPr="00CA441D" w:rsidTr="00996FC0">
        <w:trPr>
          <w:trHeight w:val="15"/>
        </w:trPr>
        <w:tc>
          <w:tcPr>
            <w:tcW w:w="839"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3064"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2405"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23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18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18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180"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c>
          <w:tcPr>
            <w:tcW w:w="1257" w:type="dxa"/>
            <w:tcBorders>
              <w:top w:val="nil"/>
              <w:left w:val="nil"/>
              <w:bottom w:val="nil"/>
              <w:right w:val="nil"/>
            </w:tcBorders>
            <w:shd w:val="clear" w:color="auto" w:fill="auto"/>
            <w:noWrap/>
            <w:vAlign w:val="bottom"/>
            <w:hideMark/>
          </w:tcPr>
          <w:p w:rsidR="00996FC0" w:rsidRPr="00CA441D" w:rsidRDefault="00996FC0" w:rsidP="00996FC0">
            <w:pPr>
              <w:rPr>
                <w:rFonts w:ascii="Arial" w:hAnsi="Arial" w:cs="Arial"/>
                <w:sz w:val="16"/>
                <w:szCs w:val="16"/>
                <w:lang w:val="hr-HR" w:eastAsia="hr-HR"/>
              </w:rPr>
            </w:pPr>
          </w:p>
        </w:tc>
      </w:tr>
    </w:tbl>
    <w:p w:rsidR="0076653A" w:rsidRPr="00CA441D" w:rsidRDefault="0076653A" w:rsidP="004C0A43">
      <w:pPr>
        <w:ind w:firstLine="720"/>
        <w:jc w:val="both"/>
        <w:rPr>
          <w:b/>
          <w:lang w:val="pl-PL"/>
        </w:rPr>
      </w:pPr>
      <w:r w:rsidRPr="00CA441D">
        <w:rPr>
          <w:lang w:val="hr-BA"/>
        </w:rPr>
        <w:t>U tabeli koja slijedi navedene su projekcije rashoda i izdataka za Budžet Grada Zavidovići za period 20</w:t>
      </w:r>
      <w:r w:rsidRPr="00CA441D">
        <w:t>22</w:t>
      </w:r>
      <w:r w:rsidRPr="00CA441D">
        <w:rPr>
          <w:lang w:val="hr-BA"/>
        </w:rPr>
        <w:t>. - 2026. godine po funkcionalnoj klasifikaciji:</w:t>
      </w:r>
    </w:p>
    <w:tbl>
      <w:tblPr>
        <w:tblW w:w="9193" w:type="dxa"/>
        <w:tblInd w:w="-260" w:type="dxa"/>
        <w:tblLook w:val="04A0"/>
      </w:tblPr>
      <w:tblGrid>
        <w:gridCol w:w="394"/>
        <w:gridCol w:w="2780"/>
        <w:gridCol w:w="1151"/>
        <w:gridCol w:w="1151"/>
        <w:gridCol w:w="1239"/>
        <w:gridCol w:w="1239"/>
        <w:gridCol w:w="1239"/>
      </w:tblGrid>
      <w:tr w:rsidR="0076653A" w:rsidRPr="00CA441D" w:rsidTr="004C0A43">
        <w:trPr>
          <w:trHeight w:val="651"/>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76653A" w:rsidRPr="00CA441D" w:rsidRDefault="0076653A" w:rsidP="0076653A">
            <w:pPr>
              <w:jc w:val="center"/>
              <w:rPr>
                <w:rFonts w:ascii="Arial" w:hAnsi="Arial" w:cs="Arial"/>
                <w:sz w:val="16"/>
                <w:szCs w:val="16"/>
                <w:lang w:val="hr-HR" w:eastAsia="hr-HR"/>
              </w:rPr>
            </w:pPr>
            <w:r w:rsidRPr="00CA441D">
              <w:rPr>
                <w:rFonts w:ascii="Arial" w:hAnsi="Arial" w:cs="Arial"/>
                <w:sz w:val="16"/>
                <w:szCs w:val="16"/>
                <w:lang w:val="hr-HR" w:eastAsia="hr-HR"/>
              </w:rPr>
              <w:t> </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6653A" w:rsidRPr="00CA441D" w:rsidRDefault="0076653A" w:rsidP="0076653A">
            <w:pPr>
              <w:jc w:val="center"/>
              <w:rPr>
                <w:rFonts w:ascii="Arial" w:hAnsi="Arial" w:cs="Arial"/>
                <w:b/>
                <w:bCs/>
                <w:sz w:val="16"/>
                <w:szCs w:val="16"/>
                <w:lang w:val="hr-HR" w:eastAsia="hr-HR"/>
              </w:rPr>
            </w:pPr>
            <w:r w:rsidRPr="00CA441D">
              <w:rPr>
                <w:rFonts w:ascii="Arial" w:hAnsi="Arial" w:cs="Arial"/>
                <w:b/>
                <w:bCs/>
                <w:sz w:val="16"/>
                <w:szCs w:val="16"/>
                <w:lang w:val="hr-HR" w:eastAsia="hr-HR"/>
              </w:rPr>
              <w:t xml:space="preserve">IZVRŠENJE </w:t>
            </w:r>
            <w:r w:rsidRPr="00CA441D">
              <w:rPr>
                <w:rFonts w:ascii="Arial" w:hAnsi="Arial" w:cs="Arial"/>
                <w:b/>
                <w:bCs/>
                <w:sz w:val="16"/>
                <w:szCs w:val="16"/>
                <w:lang w:val="hr-HR" w:eastAsia="hr-HR"/>
              </w:rPr>
              <w:br/>
              <w:t>2022. GODINA</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6653A" w:rsidRPr="00CA441D" w:rsidRDefault="0076653A" w:rsidP="0076653A">
            <w:pPr>
              <w:jc w:val="center"/>
              <w:rPr>
                <w:rFonts w:ascii="Arial" w:hAnsi="Arial" w:cs="Arial"/>
                <w:b/>
                <w:bCs/>
                <w:sz w:val="16"/>
                <w:szCs w:val="16"/>
                <w:lang w:val="hr-HR" w:eastAsia="hr-HR"/>
              </w:rPr>
            </w:pPr>
            <w:r w:rsidRPr="00CA441D">
              <w:rPr>
                <w:rFonts w:ascii="Arial" w:hAnsi="Arial" w:cs="Arial"/>
                <w:b/>
                <w:bCs/>
                <w:sz w:val="16"/>
                <w:szCs w:val="16"/>
                <w:lang w:val="hr-HR" w:eastAsia="hr-HR"/>
              </w:rPr>
              <w:t xml:space="preserve">PLAN </w:t>
            </w:r>
            <w:r w:rsidRPr="00CA441D">
              <w:rPr>
                <w:rFonts w:ascii="Arial" w:hAnsi="Arial" w:cs="Arial"/>
                <w:b/>
                <w:bCs/>
                <w:sz w:val="16"/>
                <w:szCs w:val="16"/>
                <w:lang w:val="hr-HR" w:eastAsia="hr-HR"/>
              </w:rPr>
              <w:br/>
              <w:t>2023. GODINA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6653A" w:rsidRPr="00CA441D" w:rsidRDefault="0076653A" w:rsidP="0076653A">
            <w:pPr>
              <w:jc w:val="center"/>
              <w:rPr>
                <w:rFonts w:ascii="Arial" w:hAnsi="Arial" w:cs="Arial"/>
                <w:b/>
                <w:bCs/>
                <w:sz w:val="16"/>
                <w:szCs w:val="16"/>
                <w:lang w:val="hr-HR" w:eastAsia="hr-HR"/>
              </w:rPr>
            </w:pPr>
            <w:r w:rsidRPr="00CA441D">
              <w:rPr>
                <w:rFonts w:ascii="Arial" w:hAnsi="Arial" w:cs="Arial"/>
                <w:b/>
                <w:bCs/>
                <w:sz w:val="16"/>
                <w:szCs w:val="16"/>
                <w:lang w:val="hr-HR" w:eastAsia="hr-HR"/>
              </w:rPr>
              <w:t>PROJEKCIJA</w:t>
            </w:r>
            <w:r w:rsidRPr="00CA441D">
              <w:rPr>
                <w:rFonts w:ascii="Arial" w:hAnsi="Arial" w:cs="Arial"/>
                <w:b/>
                <w:bCs/>
                <w:sz w:val="16"/>
                <w:szCs w:val="16"/>
                <w:lang w:val="hr-HR" w:eastAsia="hr-HR"/>
              </w:rPr>
              <w:br/>
              <w:t>2024. GODINA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6653A" w:rsidRPr="00CA441D" w:rsidRDefault="0076653A" w:rsidP="0076653A">
            <w:pPr>
              <w:jc w:val="center"/>
              <w:rPr>
                <w:rFonts w:ascii="Arial" w:hAnsi="Arial" w:cs="Arial"/>
                <w:b/>
                <w:bCs/>
                <w:sz w:val="16"/>
                <w:szCs w:val="16"/>
                <w:lang w:val="hr-HR" w:eastAsia="hr-HR"/>
              </w:rPr>
            </w:pPr>
            <w:r w:rsidRPr="00CA441D">
              <w:rPr>
                <w:rFonts w:ascii="Arial" w:hAnsi="Arial" w:cs="Arial"/>
                <w:b/>
                <w:bCs/>
                <w:sz w:val="16"/>
                <w:szCs w:val="16"/>
                <w:lang w:val="hr-HR" w:eastAsia="hr-HR"/>
              </w:rPr>
              <w:t>PROJEKCIJA</w:t>
            </w:r>
            <w:r w:rsidRPr="00CA441D">
              <w:rPr>
                <w:rFonts w:ascii="Arial" w:hAnsi="Arial" w:cs="Arial"/>
                <w:b/>
                <w:bCs/>
                <w:sz w:val="16"/>
                <w:szCs w:val="16"/>
                <w:lang w:val="hr-HR" w:eastAsia="hr-HR"/>
              </w:rPr>
              <w:br/>
              <w:t>2025. GODINA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6653A" w:rsidRPr="00CA441D" w:rsidRDefault="0076653A" w:rsidP="0076653A">
            <w:pPr>
              <w:jc w:val="center"/>
              <w:rPr>
                <w:rFonts w:ascii="Arial" w:hAnsi="Arial" w:cs="Arial"/>
                <w:b/>
                <w:bCs/>
                <w:sz w:val="16"/>
                <w:szCs w:val="16"/>
                <w:lang w:val="hr-HR" w:eastAsia="hr-HR"/>
              </w:rPr>
            </w:pPr>
            <w:r w:rsidRPr="00CA441D">
              <w:rPr>
                <w:rFonts w:ascii="Arial" w:hAnsi="Arial" w:cs="Arial"/>
                <w:b/>
                <w:bCs/>
                <w:sz w:val="16"/>
                <w:szCs w:val="16"/>
                <w:lang w:val="hr-HR" w:eastAsia="hr-HR"/>
              </w:rPr>
              <w:t>PROJEKCIJA</w:t>
            </w:r>
            <w:r w:rsidRPr="00CA441D">
              <w:rPr>
                <w:rFonts w:ascii="Arial" w:hAnsi="Arial" w:cs="Arial"/>
                <w:b/>
                <w:bCs/>
                <w:sz w:val="16"/>
                <w:szCs w:val="16"/>
                <w:lang w:val="hr-HR" w:eastAsia="hr-HR"/>
              </w:rPr>
              <w:br/>
              <w:t>2026. GODINA</w:t>
            </w:r>
          </w:p>
        </w:tc>
      </w:tr>
      <w:tr w:rsidR="0076653A" w:rsidRPr="00CA441D" w:rsidTr="0076653A">
        <w:trPr>
          <w:trHeight w:val="45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w:t>
            </w:r>
          </w:p>
        </w:tc>
        <w:tc>
          <w:tcPr>
            <w:tcW w:w="2780" w:type="dxa"/>
            <w:tcBorders>
              <w:top w:val="nil"/>
              <w:left w:val="nil"/>
              <w:bottom w:val="single" w:sz="4" w:space="0" w:color="auto"/>
              <w:right w:val="single" w:sz="4" w:space="0" w:color="auto"/>
            </w:tcBorders>
            <w:shd w:val="clear" w:color="auto" w:fill="auto"/>
            <w:vAlign w:val="bottom"/>
            <w:hideMark/>
          </w:tcPr>
          <w:p w:rsidR="0076653A" w:rsidRPr="00CA441D" w:rsidRDefault="0076653A" w:rsidP="0076653A">
            <w:pPr>
              <w:rPr>
                <w:rFonts w:ascii="Arial" w:hAnsi="Arial" w:cs="Arial"/>
                <w:b/>
                <w:bCs/>
                <w:sz w:val="16"/>
                <w:szCs w:val="16"/>
                <w:lang w:val="hr-HR" w:eastAsia="hr-HR"/>
              </w:rPr>
            </w:pPr>
            <w:r w:rsidRPr="00CA441D">
              <w:rPr>
                <w:rFonts w:ascii="Arial" w:hAnsi="Arial" w:cs="Arial"/>
                <w:b/>
                <w:bCs/>
                <w:sz w:val="16"/>
                <w:szCs w:val="16"/>
                <w:lang w:val="hr-HR" w:eastAsia="hr-HR"/>
              </w:rPr>
              <w:t>Opšte vladine usluge</w:t>
            </w:r>
            <w:r w:rsidRPr="00CA441D">
              <w:rPr>
                <w:rFonts w:ascii="Arial" w:hAnsi="Arial" w:cs="Arial"/>
                <w:b/>
                <w:bCs/>
                <w:sz w:val="16"/>
                <w:szCs w:val="16"/>
                <w:lang w:val="hr-HR" w:eastAsia="hr-HR"/>
              </w:rPr>
              <w:br/>
              <w:t>(2+3+4)</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5439329,00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6439213,62</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6735000,00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7000000,00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7400000,00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Opšte javne usluge</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4542740,00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6025213,62</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6295000,00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6540000,00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6850000,00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3</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Odbrana</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855530,00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180000,00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190000,00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250000,00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4</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Javni red i sigurnost</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41059,00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234000,00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250000,00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260000,00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300000,00</w:t>
            </w:r>
          </w:p>
        </w:tc>
      </w:tr>
      <w:tr w:rsidR="0076653A" w:rsidRPr="00CA441D" w:rsidTr="0076653A">
        <w:trPr>
          <w:trHeight w:val="45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5</w:t>
            </w:r>
          </w:p>
        </w:tc>
        <w:tc>
          <w:tcPr>
            <w:tcW w:w="2780" w:type="dxa"/>
            <w:tcBorders>
              <w:top w:val="nil"/>
              <w:left w:val="nil"/>
              <w:bottom w:val="single" w:sz="4" w:space="0" w:color="auto"/>
              <w:right w:val="single" w:sz="4" w:space="0" w:color="auto"/>
            </w:tcBorders>
            <w:shd w:val="clear" w:color="000000" w:fill="FFFFFF"/>
            <w:vAlign w:val="bottom"/>
            <w:hideMark/>
          </w:tcPr>
          <w:p w:rsidR="0076653A" w:rsidRPr="00CA441D" w:rsidRDefault="0076653A" w:rsidP="0076653A">
            <w:pPr>
              <w:rPr>
                <w:rFonts w:ascii="Arial" w:hAnsi="Arial" w:cs="Arial"/>
                <w:b/>
                <w:bCs/>
                <w:sz w:val="16"/>
                <w:szCs w:val="16"/>
                <w:lang w:val="hr-HR" w:eastAsia="hr-HR"/>
              </w:rPr>
            </w:pPr>
            <w:r w:rsidRPr="00CA441D">
              <w:rPr>
                <w:rFonts w:ascii="Arial" w:hAnsi="Arial" w:cs="Arial"/>
                <w:b/>
                <w:bCs/>
                <w:sz w:val="16"/>
                <w:szCs w:val="16"/>
                <w:lang w:val="hr-HR" w:eastAsia="hr-HR"/>
              </w:rPr>
              <w:t>Društvene djelatnosti</w:t>
            </w:r>
            <w:r w:rsidRPr="00CA441D">
              <w:rPr>
                <w:rFonts w:ascii="Arial" w:hAnsi="Arial" w:cs="Arial"/>
                <w:b/>
                <w:bCs/>
                <w:sz w:val="16"/>
                <w:szCs w:val="16"/>
                <w:lang w:val="hr-HR" w:eastAsia="hr-HR"/>
              </w:rPr>
              <w:br/>
              <w:t>(6+7+8+9+10)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7640819,00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7245565,79</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7450000,00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8200000,00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8840000,00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Obrazovanje</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885340,00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1121100,00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1180000,00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1200000,00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1250000,00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7</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Zdravstvo</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185953,00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227400,00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240000,00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250000,00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270000,00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8</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Socijalna pomoć i zaštita</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2536094,00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1422000,00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1500000,00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1600000,00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1650000,00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9</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Stambene i komunalne usluge</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3416226,00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3846065,79</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3900000,00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4500000,00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5000000,00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10</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Kultura, rekreacija i religija</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617206,00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629000,00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630000,00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650000,00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670000,00</w:t>
            </w:r>
          </w:p>
        </w:tc>
      </w:tr>
      <w:tr w:rsidR="0076653A" w:rsidRPr="00CA441D" w:rsidTr="0076653A">
        <w:trPr>
          <w:trHeight w:val="45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11</w:t>
            </w:r>
          </w:p>
        </w:tc>
        <w:tc>
          <w:tcPr>
            <w:tcW w:w="2780" w:type="dxa"/>
            <w:tcBorders>
              <w:top w:val="nil"/>
              <w:left w:val="nil"/>
              <w:bottom w:val="single" w:sz="4" w:space="0" w:color="auto"/>
              <w:right w:val="single" w:sz="4" w:space="0" w:color="auto"/>
            </w:tcBorders>
            <w:shd w:val="clear" w:color="000000" w:fill="FFFFFF"/>
            <w:vAlign w:val="bottom"/>
            <w:hideMark/>
          </w:tcPr>
          <w:p w:rsidR="0076653A" w:rsidRPr="00CA441D" w:rsidRDefault="0076653A" w:rsidP="0076653A">
            <w:pPr>
              <w:rPr>
                <w:rFonts w:ascii="Arial" w:hAnsi="Arial" w:cs="Arial"/>
                <w:b/>
                <w:bCs/>
                <w:sz w:val="16"/>
                <w:szCs w:val="16"/>
                <w:lang w:val="hr-HR" w:eastAsia="hr-HR"/>
              </w:rPr>
            </w:pPr>
            <w:r w:rsidRPr="00CA441D">
              <w:rPr>
                <w:rFonts w:ascii="Arial" w:hAnsi="Arial" w:cs="Arial"/>
                <w:b/>
                <w:bCs/>
                <w:sz w:val="16"/>
                <w:szCs w:val="16"/>
                <w:lang w:val="hr-HR" w:eastAsia="hr-HR"/>
              </w:rPr>
              <w:t>Ekonomske usluge</w:t>
            </w:r>
            <w:r w:rsidRPr="00CA441D">
              <w:rPr>
                <w:rFonts w:ascii="Arial" w:hAnsi="Arial" w:cs="Arial"/>
                <w:b/>
                <w:bCs/>
                <w:sz w:val="16"/>
                <w:szCs w:val="16"/>
                <w:lang w:val="hr-HR" w:eastAsia="hr-HR"/>
              </w:rPr>
              <w:br/>
              <w:t>(12+13+14+15+16)</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251960,00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225000,00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200000,00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250000,00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280000,00</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12</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Gorivo i energija</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13</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Poljoprivreda, šumarstvo i ribolov</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234987,00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200000,00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250000,00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280000,00</w:t>
            </w:r>
          </w:p>
        </w:tc>
      </w:tr>
      <w:tr w:rsidR="0076653A" w:rsidRPr="00CA441D" w:rsidTr="004C0A43">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14</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Ruda i mineralni resursi</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r>
      <w:tr w:rsidR="0076653A" w:rsidRPr="00CA441D" w:rsidTr="004C0A43">
        <w:trPr>
          <w:trHeight w:val="22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lastRenderedPageBreak/>
              <w:t>15</w:t>
            </w:r>
          </w:p>
        </w:tc>
        <w:tc>
          <w:tcPr>
            <w:tcW w:w="2780" w:type="dxa"/>
            <w:tcBorders>
              <w:top w:val="single" w:sz="4" w:space="0" w:color="auto"/>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Transport i komunikacije</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16</w:t>
            </w:r>
          </w:p>
        </w:tc>
        <w:tc>
          <w:tcPr>
            <w:tcW w:w="2780" w:type="dxa"/>
            <w:tcBorders>
              <w:top w:val="nil"/>
              <w:left w:val="nil"/>
              <w:bottom w:val="single" w:sz="4" w:space="0" w:color="auto"/>
              <w:right w:val="single" w:sz="4" w:space="0" w:color="auto"/>
            </w:tcBorders>
            <w:shd w:val="clear" w:color="000000" w:fill="FFFFFF"/>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Ostali ekonomski poslovi i usluge</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16973,00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25000,00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r>
      <w:tr w:rsidR="0076653A" w:rsidRPr="00CA441D" w:rsidTr="0076653A">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17</w:t>
            </w:r>
          </w:p>
        </w:tc>
        <w:tc>
          <w:tcPr>
            <w:tcW w:w="2780"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b/>
                <w:bCs/>
                <w:sz w:val="16"/>
                <w:szCs w:val="16"/>
                <w:lang w:val="hr-HR" w:eastAsia="hr-HR"/>
              </w:rPr>
            </w:pPr>
            <w:r w:rsidRPr="00CA441D">
              <w:rPr>
                <w:rFonts w:ascii="Arial" w:hAnsi="Arial" w:cs="Arial"/>
                <w:b/>
                <w:bCs/>
                <w:sz w:val="16"/>
                <w:szCs w:val="16"/>
                <w:lang w:val="hr-HR" w:eastAsia="hr-HR"/>
              </w:rPr>
              <w:t>Ostala potrošnja (zaštita okoliša)</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724054,00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767000,00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766005,00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836403,00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sz w:val="16"/>
                <w:szCs w:val="16"/>
                <w:lang w:val="hr-HR" w:eastAsia="hr-HR"/>
              </w:rPr>
            </w:pPr>
            <w:r w:rsidRPr="00CA441D">
              <w:rPr>
                <w:rFonts w:ascii="Arial" w:hAnsi="Arial" w:cs="Arial"/>
                <w:sz w:val="16"/>
                <w:szCs w:val="16"/>
                <w:lang w:val="hr-HR" w:eastAsia="hr-HR"/>
              </w:rPr>
              <w:t>845500,00</w:t>
            </w:r>
          </w:p>
        </w:tc>
      </w:tr>
      <w:tr w:rsidR="0076653A" w:rsidRPr="00CA441D" w:rsidTr="0076653A">
        <w:trPr>
          <w:trHeight w:val="45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76653A" w:rsidRPr="00CA441D" w:rsidRDefault="0076653A" w:rsidP="0076653A">
            <w:pPr>
              <w:rPr>
                <w:rFonts w:ascii="Arial" w:hAnsi="Arial" w:cs="Arial"/>
                <w:sz w:val="16"/>
                <w:szCs w:val="16"/>
                <w:lang w:val="hr-HR" w:eastAsia="hr-HR"/>
              </w:rPr>
            </w:pPr>
            <w:r w:rsidRPr="00CA441D">
              <w:rPr>
                <w:rFonts w:ascii="Arial" w:hAnsi="Arial" w:cs="Arial"/>
                <w:sz w:val="16"/>
                <w:szCs w:val="16"/>
                <w:lang w:val="hr-HR" w:eastAsia="hr-HR"/>
              </w:rPr>
              <w:t> </w:t>
            </w:r>
          </w:p>
        </w:tc>
        <w:tc>
          <w:tcPr>
            <w:tcW w:w="2780" w:type="dxa"/>
            <w:tcBorders>
              <w:top w:val="nil"/>
              <w:left w:val="nil"/>
              <w:bottom w:val="single" w:sz="4" w:space="0" w:color="auto"/>
              <w:right w:val="single" w:sz="4" w:space="0" w:color="auto"/>
            </w:tcBorders>
            <w:shd w:val="clear" w:color="auto" w:fill="auto"/>
            <w:vAlign w:val="bottom"/>
            <w:hideMark/>
          </w:tcPr>
          <w:p w:rsidR="0076653A" w:rsidRPr="00CA441D" w:rsidRDefault="0076653A" w:rsidP="0076653A">
            <w:pPr>
              <w:rPr>
                <w:rFonts w:ascii="Arial" w:hAnsi="Arial" w:cs="Arial"/>
                <w:b/>
                <w:bCs/>
                <w:sz w:val="16"/>
                <w:szCs w:val="16"/>
                <w:lang w:val="hr-HR" w:eastAsia="hr-HR"/>
              </w:rPr>
            </w:pPr>
            <w:r w:rsidRPr="00CA441D">
              <w:rPr>
                <w:rFonts w:ascii="Arial" w:hAnsi="Arial" w:cs="Arial"/>
                <w:b/>
                <w:bCs/>
                <w:sz w:val="16"/>
                <w:szCs w:val="16"/>
                <w:lang w:val="hr-HR" w:eastAsia="hr-HR"/>
              </w:rPr>
              <w:t>UKUPNA POTROŠNJA</w:t>
            </w:r>
            <w:r w:rsidRPr="00CA441D">
              <w:rPr>
                <w:rFonts w:ascii="Arial" w:hAnsi="Arial" w:cs="Arial"/>
                <w:b/>
                <w:bCs/>
                <w:sz w:val="16"/>
                <w:szCs w:val="16"/>
                <w:lang w:val="hr-HR" w:eastAsia="hr-HR"/>
              </w:rPr>
              <w:br/>
              <w:t>(1+5+11+17)</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14056162,00</w:t>
            </w:r>
          </w:p>
        </w:tc>
        <w:tc>
          <w:tcPr>
            <w:tcW w:w="1151"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14676779,41</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15151005,00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16286403,00</w:t>
            </w:r>
          </w:p>
        </w:tc>
        <w:tc>
          <w:tcPr>
            <w:tcW w:w="1239" w:type="dxa"/>
            <w:tcBorders>
              <w:top w:val="nil"/>
              <w:left w:val="nil"/>
              <w:bottom w:val="single" w:sz="4" w:space="0" w:color="auto"/>
              <w:right w:val="single" w:sz="4" w:space="0" w:color="auto"/>
            </w:tcBorders>
            <w:shd w:val="clear" w:color="auto" w:fill="auto"/>
            <w:noWrap/>
            <w:vAlign w:val="bottom"/>
            <w:hideMark/>
          </w:tcPr>
          <w:p w:rsidR="0076653A" w:rsidRPr="00CA441D" w:rsidRDefault="0076653A" w:rsidP="0076653A">
            <w:pPr>
              <w:jc w:val="right"/>
              <w:rPr>
                <w:rFonts w:ascii="Arial" w:hAnsi="Arial" w:cs="Arial"/>
                <w:b/>
                <w:bCs/>
                <w:sz w:val="16"/>
                <w:szCs w:val="16"/>
                <w:lang w:val="hr-HR" w:eastAsia="hr-HR"/>
              </w:rPr>
            </w:pPr>
            <w:r w:rsidRPr="00CA441D">
              <w:rPr>
                <w:rFonts w:ascii="Arial" w:hAnsi="Arial" w:cs="Arial"/>
                <w:b/>
                <w:bCs/>
                <w:sz w:val="16"/>
                <w:szCs w:val="16"/>
                <w:lang w:val="hr-HR" w:eastAsia="hr-HR"/>
              </w:rPr>
              <w:t>17365500,00</w:t>
            </w:r>
          </w:p>
        </w:tc>
      </w:tr>
    </w:tbl>
    <w:p w:rsidR="0076653A" w:rsidRPr="00CA441D" w:rsidRDefault="0076653A" w:rsidP="004147EE">
      <w:pPr>
        <w:jc w:val="both"/>
        <w:rPr>
          <w:b/>
          <w:lang w:val="pl-PL"/>
        </w:rPr>
      </w:pPr>
    </w:p>
    <w:p w:rsidR="0076653A" w:rsidRPr="00CA441D" w:rsidRDefault="0076653A" w:rsidP="004147EE">
      <w:pPr>
        <w:jc w:val="both"/>
        <w:rPr>
          <w:b/>
          <w:lang w:val="pl-PL"/>
        </w:rPr>
      </w:pPr>
    </w:p>
    <w:p w:rsidR="00F04FF9" w:rsidRPr="00CA441D" w:rsidRDefault="00F04FF9" w:rsidP="00486134">
      <w:pPr>
        <w:ind w:firstLine="720"/>
        <w:jc w:val="both"/>
        <w:rPr>
          <w:lang w:val="hr-HR"/>
        </w:rPr>
      </w:pPr>
      <w:r w:rsidRPr="009C7EBD">
        <w:rPr>
          <w:b/>
          <w:lang w:val="hr-BA"/>
        </w:rPr>
        <w:t xml:space="preserve">Potrošnja </w:t>
      </w:r>
      <w:r w:rsidR="00B73414">
        <w:rPr>
          <w:b/>
          <w:lang w:val="hr-BA"/>
        </w:rPr>
        <w:t>za</w:t>
      </w:r>
      <w:r w:rsidRPr="009C7EBD">
        <w:rPr>
          <w:b/>
          <w:lang w:val="hr-BA"/>
        </w:rPr>
        <w:t xml:space="preserve"> bruto plate i naknade</w:t>
      </w:r>
      <w:r w:rsidRPr="00CA441D">
        <w:rPr>
          <w:lang w:val="hr-BA"/>
        </w:rPr>
        <w:t xml:space="preserve">, prema okvirnom budžetu, se procjenjuje na </w:t>
      </w:r>
      <w:r w:rsidR="0014339C" w:rsidRPr="00CA441D">
        <w:rPr>
          <w:lang w:val="hr-HR"/>
        </w:rPr>
        <w:t>4,25</w:t>
      </w:r>
      <w:r w:rsidRPr="00CA441D">
        <w:rPr>
          <w:lang w:val="hr-HR"/>
        </w:rPr>
        <w:t xml:space="preserve"> </w:t>
      </w:r>
      <w:r w:rsidRPr="00CA441D">
        <w:rPr>
          <w:lang w:val="hr-BA"/>
        </w:rPr>
        <w:t>mil. KM u 20</w:t>
      </w:r>
      <w:r w:rsidRPr="00CA441D">
        <w:rPr>
          <w:lang w:val="hr-HR"/>
        </w:rPr>
        <w:t>24</w:t>
      </w:r>
      <w:r w:rsidRPr="00CA441D">
        <w:rPr>
          <w:lang w:val="hr-BA"/>
        </w:rPr>
        <w:t xml:space="preserve">. godini, što predstavlja </w:t>
      </w:r>
      <w:r w:rsidR="0014339C" w:rsidRPr="00CA441D">
        <w:rPr>
          <w:lang w:val="hr-BA"/>
        </w:rPr>
        <w:t>28,05</w:t>
      </w:r>
      <w:r w:rsidRPr="00CA441D">
        <w:rPr>
          <w:lang w:val="hr-BA"/>
        </w:rPr>
        <w:t xml:space="preserve">% ukupnog Budžeta </w:t>
      </w:r>
      <w:r w:rsidR="0014339C" w:rsidRPr="00CA441D">
        <w:rPr>
          <w:lang w:val="hr-BA"/>
        </w:rPr>
        <w:t>Grada.</w:t>
      </w:r>
      <w:r w:rsidRPr="00CA441D">
        <w:rPr>
          <w:lang w:val="hr-BA"/>
        </w:rPr>
        <w:t xml:space="preserve"> </w:t>
      </w:r>
    </w:p>
    <w:tbl>
      <w:tblPr>
        <w:tblW w:w="8396" w:type="dxa"/>
        <w:tblInd w:w="103" w:type="dxa"/>
        <w:tblLook w:val="04A0"/>
      </w:tblPr>
      <w:tblGrid>
        <w:gridCol w:w="2633"/>
        <w:gridCol w:w="1310"/>
        <w:gridCol w:w="1156"/>
        <w:gridCol w:w="1173"/>
        <w:gridCol w:w="1062"/>
        <w:gridCol w:w="1062"/>
      </w:tblGrid>
      <w:tr w:rsidR="003216F2" w:rsidRPr="00CA441D" w:rsidTr="003216F2">
        <w:trPr>
          <w:trHeight w:val="255"/>
        </w:trPr>
        <w:tc>
          <w:tcPr>
            <w:tcW w:w="26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6F2" w:rsidRPr="00CA441D" w:rsidRDefault="003216F2" w:rsidP="003216F2">
            <w:pPr>
              <w:jc w:val="center"/>
              <w:rPr>
                <w:rFonts w:ascii="Arial" w:hAnsi="Arial" w:cs="Arial"/>
                <w:sz w:val="16"/>
                <w:szCs w:val="16"/>
                <w:lang w:val="hr-HR" w:eastAsia="hr-HR"/>
              </w:rPr>
            </w:pPr>
            <w:r w:rsidRPr="00CA441D">
              <w:rPr>
                <w:rFonts w:ascii="Arial" w:hAnsi="Arial" w:cs="Arial"/>
                <w:sz w:val="16"/>
                <w:szCs w:val="16"/>
                <w:lang w:val="hr-HR" w:eastAsia="hr-HR"/>
              </w:rPr>
              <w:t>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6F2" w:rsidRPr="00CA441D" w:rsidRDefault="003216F2" w:rsidP="003216F2">
            <w:pPr>
              <w:jc w:val="center"/>
              <w:rPr>
                <w:rFonts w:ascii="Arial" w:hAnsi="Arial" w:cs="Arial"/>
                <w:b/>
                <w:bCs/>
                <w:sz w:val="16"/>
                <w:szCs w:val="16"/>
                <w:lang w:val="hr-HR" w:eastAsia="hr-HR"/>
              </w:rPr>
            </w:pPr>
            <w:r w:rsidRPr="00CA441D">
              <w:rPr>
                <w:rFonts w:ascii="Arial" w:hAnsi="Arial" w:cs="Arial"/>
                <w:b/>
                <w:bCs/>
                <w:sz w:val="16"/>
                <w:szCs w:val="16"/>
                <w:lang w:val="hr-HR" w:eastAsia="hr-HR"/>
              </w:rPr>
              <w:t>OSTVARENO  2022. GODINA</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6F2" w:rsidRPr="00CA441D" w:rsidRDefault="003216F2" w:rsidP="003216F2">
            <w:pPr>
              <w:jc w:val="center"/>
              <w:rPr>
                <w:rFonts w:ascii="Arial" w:hAnsi="Arial" w:cs="Arial"/>
                <w:b/>
                <w:bCs/>
                <w:sz w:val="16"/>
                <w:szCs w:val="16"/>
                <w:lang w:val="hr-HR" w:eastAsia="hr-HR"/>
              </w:rPr>
            </w:pPr>
            <w:r w:rsidRPr="00CA441D">
              <w:rPr>
                <w:rFonts w:ascii="Arial" w:hAnsi="Arial" w:cs="Arial"/>
                <w:b/>
                <w:bCs/>
                <w:sz w:val="16"/>
                <w:szCs w:val="16"/>
                <w:lang w:val="hr-HR" w:eastAsia="hr-HR"/>
              </w:rPr>
              <w:t>PLAN 2023. GODINA</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216F2" w:rsidRPr="00CA441D" w:rsidRDefault="003216F2" w:rsidP="003216F2">
            <w:pPr>
              <w:jc w:val="center"/>
              <w:rPr>
                <w:rFonts w:ascii="Arial" w:hAnsi="Arial" w:cs="Arial"/>
                <w:b/>
                <w:bCs/>
                <w:sz w:val="16"/>
                <w:szCs w:val="16"/>
                <w:lang w:val="hr-HR" w:eastAsia="hr-HR"/>
              </w:rPr>
            </w:pPr>
            <w:r w:rsidRPr="00CA441D">
              <w:rPr>
                <w:rFonts w:ascii="Arial" w:hAnsi="Arial" w:cs="Arial"/>
                <w:b/>
                <w:bCs/>
                <w:sz w:val="16"/>
                <w:szCs w:val="16"/>
                <w:lang w:val="hr-HR" w:eastAsia="hr-HR"/>
              </w:rPr>
              <w:t>PROJEKCIJA</w:t>
            </w:r>
          </w:p>
        </w:tc>
      </w:tr>
      <w:tr w:rsidR="003216F2" w:rsidRPr="00CA441D" w:rsidTr="003216F2">
        <w:trPr>
          <w:trHeight w:val="225"/>
        </w:trPr>
        <w:tc>
          <w:tcPr>
            <w:tcW w:w="2633" w:type="dxa"/>
            <w:vMerge/>
            <w:tcBorders>
              <w:top w:val="single" w:sz="4" w:space="0" w:color="auto"/>
              <w:left w:val="single" w:sz="4" w:space="0" w:color="auto"/>
              <w:bottom w:val="single" w:sz="4" w:space="0" w:color="auto"/>
              <w:right w:val="single" w:sz="4" w:space="0" w:color="auto"/>
            </w:tcBorders>
            <w:vAlign w:val="center"/>
            <w:hideMark/>
          </w:tcPr>
          <w:p w:rsidR="003216F2" w:rsidRPr="00CA441D" w:rsidRDefault="003216F2" w:rsidP="003216F2">
            <w:pPr>
              <w:rPr>
                <w:rFonts w:ascii="Arial" w:hAnsi="Arial" w:cs="Arial"/>
                <w:sz w:val="16"/>
                <w:szCs w:val="16"/>
                <w:lang w:val="hr-HR" w:eastAsia="hr-HR"/>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216F2" w:rsidRPr="00CA441D" w:rsidRDefault="003216F2" w:rsidP="003216F2">
            <w:pPr>
              <w:rPr>
                <w:rFonts w:ascii="Arial" w:hAnsi="Arial" w:cs="Arial"/>
                <w:b/>
                <w:bCs/>
                <w:sz w:val="16"/>
                <w:szCs w:val="16"/>
                <w:lang w:val="hr-HR" w:eastAsia="hr-H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3216F2" w:rsidRPr="00CA441D" w:rsidRDefault="003216F2" w:rsidP="003216F2">
            <w:pPr>
              <w:rPr>
                <w:rFonts w:ascii="Arial" w:hAnsi="Arial" w:cs="Arial"/>
                <w:b/>
                <w:bCs/>
                <w:sz w:val="16"/>
                <w:szCs w:val="16"/>
                <w:lang w:val="hr-HR" w:eastAsia="hr-HR"/>
              </w:rPr>
            </w:pPr>
          </w:p>
        </w:tc>
        <w:tc>
          <w:tcPr>
            <w:tcW w:w="1173"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center"/>
              <w:rPr>
                <w:rFonts w:ascii="Arial" w:hAnsi="Arial" w:cs="Arial"/>
                <w:b/>
                <w:bCs/>
                <w:sz w:val="16"/>
                <w:szCs w:val="16"/>
                <w:lang w:val="hr-HR" w:eastAsia="hr-HR"/>
              </w:rPr>
            </w:pPr>
            <w:r w:rsidRPr="00CA441D">
              <w:rPr>
                <w:rFonts w:ascii="Arial" w:hAnsi="Arial" w:cs="Arial"/>
                <w:b/>
                <w:bCs/>
                <w:sz w:val="16"/>
                <w:szCs w:val="16"/>
                <w:lang w:val="hr-HR" w:eastAsia="hr-HR"/>
              </w:rPr>
              <w:t>2024. G.</w:t>
            </w:r>
          </w:p>
        </w:tc>
        <w:tc>
          <w:tcPr>
            <w:tcW w:w="1062"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center"/>
              <w:rPr>
                <w:rFonts w:ascii="Arial" w:hAnsi="Arial" w:cs="Arial"/>
                <w:b/>
                <w:bCs/>
                <w:sz w:val="16"/>
                <w:szCs w:val="16"/>
                <w:lang w:val="hr-HR" w:eastAsia="hr-HR"/>
              </w:rPr>
            </w:pPr>
            <w:r w:rsidRPr="00CA441D">
              <w:rPr>
                <w:rFonts w:ascii="Arial" w:hAnsi="Arial" w:cs="Arial"/>
                <w:b/>
                <w:bCs/>
                <w:sz w:val="16"/>
                <w:szCs w:val="16"/>
                <w:lang w:val="hr-HR" w:eastAsia="hr-HR"/>
              </w:rPr>
              <w:t>2025. G.</w:t>
            </w:r>
          </w:p>
        </w:tc>
        <w:tc>
          <w:tcPr>
            <w:tcW w:w="1062"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center"/>
              <w:rPr>
                <w:rFonts w:ascii="Arial" w:hAnsi="Arial" w:cs="Arial"/>
                <w:b/>
                <w:bCs/>
                <w:sz w:val="16"/>
                <w:szCs w:val="16"/>
                <w:lang w:val="hr-HR" w:eastAsia="hr-HR"/>
              </w:rPr>
            </w:pPr>
            <w:r w:rsidRPr="00CA441D">
              <w:rPr>
                <w:rFonts w:ascii="Arial" w:hAnsi="Arial" w:cs="Arial"/>
                <w:b/>
                <w:bCs/>
                <w:sz w:val="16"/>
                <w:szCs w:val="16"/>
                <w:lang w:val="hr-HR" w:eastAsia="hr-HR"/>
              </w:rPr>
              <w:t>2026.G.</w:t>
            </w:r>
          </w:p>
        </w:tc>
      </w:tr>
      <w:tr w:rsidR="003216F2" w:rsidRPr="00CA441D" w:rsidTr="003216F2">
        <w:trPr>
          <w:trHeight w:val="495"/>
        </w:trPr>
        <w:tc>
          <w:tcPr>
            <w:tcW w:w="2633" w:type="dxa"/>
            <w:tcBorders>
              <w:top w:val="nil"/>
              <w:left w:val="single" w:sz="4" w:space="0" w:color="auto"/>
              <w:bottom w:val="single" w:sz="4" w:space="0" w:color="auto"/>
              <w:right w:val="single" w:sz="4" w:space="0" w:color="auto"/>
            </w:tcBorders>
            <w:shd w:val="clear" w:color="auto" w:fill="auto"/>
            <w:hideMark/>
          </w:tcPr>
          <w:p w:rsidR="003216F2" w:rsidRPr="00CA441D" w:rsidRDefault="003216F2" w:rsidP="003216F2">
            <w:pPr>
              <w:rPr>
                <w:rFonts w:ascii="Arial" w:hAnsi="Arial" w:cs="Arial"/>
                <w:b/>
                <w:bCs/>
                <w:sz w:val="16"/>
                <w:szCs w:val="16"/>
                <w:lang w:val="hr-HR" w:eastAsia="hr-HR"/>
              </w:rPr>
            </w:pPr>
            <w:r w:rsidRPr="00CA441D">
              <w:rPr>
                <w:rFonts w:ascii="Arial" w:hAnsi="Arial" w:cs="Arial"/>
                <w:b/>
                <w:bCs/>
                <w:sz w:val="16"/>
                <w:szCs w:val="16"/>
                <w:lang w:val="hr-HR" w:eastAsia="hr-HR"/>
              </w:rPr>
              <w:t xml:space="preserve">UKUPNE PLATE , NAKNADE I DOPRINOSI </w:t>
            </w:r>
            <w:r w:rsidRPr="00CA441D">
              <w:rPr>
                <w:rFonts w:ascii="Arial" w:hAnsi="Arial" w:cs="Arial"/>
                <w:b/>
                <w:bCs/>
                <w:sz w:val="16"/>
                <w:szCs w:val="16"/>
                <w:lang w:val="hr-HR" w:eastAsia="hr-HR"/>
              </w:rPr>
              <w:br/>
              <w:t>(BRUTO)</w:t>
            </w:r>
          </w:p>
        </w:tc>
        <w:tc>
          <w:tcPr>
            <w:tcW w:w="1310" w:type="dxa"/>
            <w:tcBorders>
              <w:top w:val="nil"/>
              <w:left w:val="nil"/>
              <w:bottom w:val="single" w:sz="4" w:space="0" w:color="auto"/>
              <w:right w:val="single" w:sz="4" w:space="0" w:color="auto"/>
            </w:tcBorders>
            <w:shd w:val="clear" w:color="auto" w:fill="auto"/>
            <w:noWrap/>
            <w:vAlign w:val="center"/>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3119493,00</w:t>
            </w:r>
          </w:p>
        </w:tc>
        <w:tc>
          <w:tcPr>
            <w:tcW w:w="1156" w:type="dxa"/>
            <w:tcBorders>
              <w:top w:val="nil"/>
              <w:left w:val="nil"/>
              <w:bottom w:val="single" w:sz="4" w:space="0" w:color="auto"/>
              <w:right w:val="single" w:sz="4" w:space="0" w:color="auto"/>
            </w:tcBorders>
            <w:shd w:val="clear" w:color="auto" w:fill="auto"/>
            <w:noWrap/>
            <w:vAlign w:val="center"/>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3422059,14</w:t>
            </w:r>
          </w:p>
        </w:tc>
        <w:tc>
          <w:tcPr>
            <w:tcW w:w="1173" w:type="dxa"/>
            <w:tcBorders>
              <w:top w:val="nil"/>
              <w:left w:val="nil"/>
              <w:bottom w:val="single" w:sz="4" w:space="0" w:color="auto"/>
              <w:right w:val="single" w:sz="4" w:space="0" w:color="auto"/>
            </w:tcBorders>
            <w:shd w:val="clear" w:color="auto" w:fill="auto"/>
            <w:noWrap/>
            <w:vAlign w:val="center"/>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3750000,00</w:t>
            </w:r>
          </w:p>
        </w:tc>
        <w:tc>
          <w:tcPr>
            <w:tcW w:w="1062" w:type="dxa"/>
            <w:tcBorders>
              <w:top w:val="nil"/>
              <w:left w:val="nil"/>
              <w:bottom w:val="single" w:sz="4" w:space="0" w:color="auto"/>
              <w:right w:val="single" w:sz="4" w:space="0" w:color="auto"/>
            </w:tcBorders>
            <w:shd w:val="clear" w:color="auto" w:fill="auto"/>
            <w:noWrap/>
            <w:vAlign w:val="center"/>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4104000,00</w:t>
            </w:r>
          </w:p>
        </w:tc>
        <w:tc>
          <w:tcPr>
            <w:tcW w:w="1062" w:type="dxa"/>
            <w:tcBorders>
              <w:top w:val="nil"/>
              <w:left w:val="nil"/>
              <w:bottom w:val="single" w:sz="4" w:space="0" w:color="auto"/>
              <w:right w:val="single" w:sz="4" w:space="0" w:color="auto"/>
            </w:tcBorders>
            <w:shd w:val="clear" w:color="auto" w:fill="auto"/>
            <w:noWrap/>
            <w:vAlign w:val="center"/>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4320000,00</w:t>
            </w:r>
          </w:p>
        </w:tc>
      </w:tr>
      <w:tr w:rsidR="003216F2" w:rsidRPr="00CA441D" w:rsidTr="003216F2">
        <w:trPr>
          <w:trHeight w:val="225"/>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3216F2" w:rsidRPr="00CA441D" w:rsidRDefault="003216F2" w:rsidP="003216F2">
            <w:pPr>
              <w:rPr>
                <w:rFonts w:ascii="Arial" w:hAnsi="Arial" w:cs="Arial"/>
                <w:b/>
                <w:bCs/>
                <w:sz w:val="16"/>
                <w:szCs w:val="16"/>
                <w:lang w:val="hr-HR" w:eastAsia="hr-HR"/>
              </w:rPr>
            </w:pPr>
            <w:r w:rsidRPr="00CA441D">
              <w:rPr>
                <w:rFonts w:ascii="Arial" w:hAnsi="Arial" w:cs="Arial"/>
                <w:b/>
                <w:bCs/>
                <w:sz w:val="16"/>
                <w:szCs w:val="16"/>
                <w:lang w:val="hr-HR" w:eastAsia="hr-HR"/>
              </w:rPr>
              <w:t>UKUPAN BROJ ZAPOSLENIH</w:t>
            </w:r>
          </w:p>
        </w:tc>
        <w:tc>
          <w:tcPr>
            <w:tcW w:w="1310"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103,00</w:t>
            </w:r>
          </w:p>
        </w:tc>
        <w:tc>
          <w:tcPr>
            <w:tcW w:w="1156"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103,00</w:t>
            </w:r>
          </w:p>
        </w:tc>
        <w:tc>
          <w:tcPr>
            <w:tcW w:w="1173"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104,00</w:t>
            </w:r>
          </w:p>
        </w:tc>
        <w:tc>
          <w:tcPr>
            <w:tcW w:w="1062"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105,00</w:t>
            </w:r>
          </w:p>
        </w:tc>
        <w:tc>
          <w:tcPr>
            <w:tcW w:w="1062"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sz w:val="16"/>
                <w:szCs w:val="16"/>
                <w:lang w:val="hr-HR" w:eastAsia="hr-HR"/>
              </w:rPr>
            </w:pPr>
            <w:r w:rsidRPr="00CA441D">
              <w:rPr>
                <w:rFonts w:ascii="Arial" w:hAnsi="Arial" w:cs="Arial"/>
                <w:sz w:val="16"/>
                <w:szCs w:val="16"/>
                <w:lang w:val="hr-HR" w:eastAsia="hr-HR"/>
              </w:rPr>
              <w:t>106,00</w:t>
            </w:r>
          </w:p>
        </w:tc>
      </w:tr>
      <w:tr w:rsidR="003216F2" w:rsidRPr="00CA441D" w:rsidTr="003216F2">
        <w:trPr>
          <w:trHeight w:val="225"/>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3216F2" w:rsidRPr="00CA441D" w:rsidRDefault="003216F2" w:rsidP="003216F2">
            <w:pPr>
              <w:rPr>
                <w:rFonts w:ascii="Arial" w:hAnsi="Arial" w:cs="Arial"/>
                <w:b/>
                <w:bCs/>
                <w:sz w:val="16"/>
                <w:szCs w:val="16"/>
                <w:lang w:val="hr-HR" w:eastAsia="hr-HR"/>
              </w:rPr>
            </w:pPr>
            <w:r w:rsidRPr="00CA441D">
              <w:rPr>
                <w:rFonts w:ascii="Arial" w:hAnsi="Arial" w:cs="Arial"/>
                <w:b/>
                <w:bCs/>
                <w:sz w:val="16"/>
                <w:szCs w:val="16"/>
                <w:lang w:val="hr-HR" w:eastAsia="hr-HR"/>
              </w:rPr>
              <w:t>PROSJEČNA PLATA (bruto)</w:t>
            </w:r>
          </w:p>
        </w:tc>
        <w:tc>
          <w:tcPr>
            <w:tcW w:w="1310"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b/>
                <w:bCs/>
                <w:sz w:val="16"/>
                <w:szCs w:val="16"/>
                <w:lang w:val="hr-HR" w:eastAsia="hr-HR"/>
              </w:rPr>
            </w:pPr>
            <w:r w:rsidRPr="00CA441D">
              <w:rPr>
                <w:rFonts w:ascii="Arial" w:hAnsi="Arial" w:cs="Arial"/>
                <w:b/>
                <w:bCs/>
                <w:sz w:val="16"/>
                <w:szCs w:val="16"/>
                <w:lang w:val="hr-HR" w:eastAsia="hr-HR"/>
              </w:rPr>
              <w:t>2523,86</w:t>
            </w:r>
          </w:p>
        </w:tc>
        <w:tc>
          <w:tcPr>
            <w:tcW w:w="1156"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b/>
                <w:bCs/>
                <w:sz w:val="16"/>
                <w:szCs w:val="16"/>
                <w:lang w:val="hr-HR" w:eastAsia="hr-HR"/>
              </w:rPr>
            </w:pPr>
            <w:r w:rsidRPr="00CA441D">
              <w:rPr>
                <w:rFonts w:ascii="Arial" w:hAnsi="Arial" w:cs="Arial"/>
                <w:b/>
                <w:bCs/>
                <w:sz w:val="16"/>
                <w:szCs w:val="16"/>
                <w:lang w:val="hr-HR" w:eastAsia="hr-HR"/>
              </w:rPr>
              <w:t>2768,66</w:t>
            </w:r>
          </w:p>
        </w:tc>
        <w:tc>
          <w:tcPr>
            <w:tcW w:w="1173"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b/>
                <w:bCs/>
                <w:sz w:val="16"/>
                <w:szCs w:val="16"/>
                <w:lang w:val="hr-HR" w:eastAsia="hr-HR"/>
              </w:rPr>
            </w:pPr>
            <w:r w:rsidRPr="00CA441D">
              <w:rPr>
                <w:rFonts w:ascii="Arial" w:hAnsi="Arial" w:cs="Arial"/>
                <w:b/>
                <w:bCs/>
                <w:sz w:val="16"/>
                <w:szCs w:val="16"/>
                <w:lang w:val="hr-HR" w:eastAsia="hr-HR"/>
              </w:rPr>
              <w:t>3004,81</w:t>
            </w:r>
          </w:p>
        </w:tc>
        <w:tc>
          <w:tcPr>
            <w:tcW w:w="1062"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b/>
                <w:bCs/>
                <w:sz w:val="16"/>
                <w:szCs w:val="16"/>
                <w:lang w:val="hr-HR" w:eastAsia="hr-HR"/>
              </w:rPr>
            </w:pPr>
            <w:r w:rsidRPr="00CA441D">
              <w:rPr>
                <w:rFonts w:ascii="Arial" w:hAnsi="Arial" w:cs="Arial"/>
                <w:b/>
                <w:bCs/>
                <w:sz w:val="16"/>
                <w:szCs w:val="16"/>
                <w:lang w:val="hr-HR" w:eastAsia="hr-HR"/>
              </w:rPr>
              <w:t>3257,14</w:t>
            </w:r>
          </w:p>
        </w:tc>
        <w:tc>
          <w:tcPr>
            <w:tcW w:w="1062" w:type="dxa"/>
            <w:tcBorders>
              <w:top w:val="nil"/>
              <w:left w:val="nil"/>
              <w:bottom w:val="single" w:sz="4" w:space="0" w:color="auto"/>
              <w:right w:val="single" w:sz="4" w:space="0" w:color="auto"/>
            </w:tcBorders>
            <w:shd w:val="clear" w:color="auto" w:fill="auto"/>
            <w:noWrap/>
            <w:vAlign w:val="bottom"/>
            <w:hideMark/>
          </w:tcPr>
          <w:p w:rsidR="003216F2" w:rsidRPr="00CA441D" w:rsidRDefault="003216F2" w:rsidP="003216F2">
            <w:pPr>
              <w:jc w:val="right"/>
              <w:rPr>
                <w:rFonts w:ascii="Arial" w:hAnsi="Arial" w:cs="Arial"/>
                <w:b/>
                <w:bCs/>
                <w:sz w:val="16"/>
                <w:szCs w:val="16"/>
                <w:lang w:val="hr-HR" w:eastAsia="hr-HR"/>
              </w:rPr>
            </w:pPr>
            <w:r w:rsidRPr="00CA441D">
              <w:rPr>
                <w:rFonts w:ascii="Arial" w:hAnsi="Arial" w:cs="Arial"/>
                <w:b/>
                <w:bCs/>
                <w:sz w:val="16"/>
                <w:szCs w:val="16"/>
                <w:lang w:val="hr-HR" w:eastAsia="hr-HR"/>
              </w:rPr>
              <w:t>3396,23</w:t>
            </w:r>
          </w:p>
        </w:tc>
      </w:tr>
    </w:tbl>
    <w:p w:rsidR="00486134" w:rsidRDefault="00486134" w:rsidP="00486134">
      <w:pPr>
        <w:jc w:val="both"/>
        <w:rPr>
          <w:bCs/>
          <w:lang w:val="hr-HR"/>
        </w:rPr>
      </w:pPr>
      <w:r w:rsidRPr="00CA441D">
        <w:rPr>
          <w:bCs/>
          <w:lang w:val="hr-HR"/>
        </w:rPr>
        <w:t>U narednom periodu ne predviđa se značajnije povećanje broja zaposlenih</w:t>
      </w:r>
    </w:p>
    <w:p w:rsidR="003216F2" w:rsidRPr="00CA441D" w:rsidRDefault="003216F2">
      <w:pPr>
        <w:jc w:val="both"/>
        <w:rPr>
          <w:b/>
          <w:lang w:val="hr-HR"/>
        </w:rPr>
      </w:pPr>
    </w:p>
    <w:p w:rsidR="00FE655A" w:rsidRPr="00CA441D" w:rsidRDefault="00B6443F" w:rsidP="00486134">
      <w:pPr>
        <w:ind w:firstLine="720"/>
        <w:jc w:val="both"/>
        <w:rPr>
          <w:lang w:val="hr-HR"/>
        </w:rPr>
      </w:pPr>
      <w:r w:rsidRPr="00CA441D">
        <w:rPr>
          <w:b/>
          <w:lang w:val="hr-BA"/>
        </w:rPr>
        <w:t xml:space="preserve">Potrošnja </w:t>
      </w:r>
      <w:r w:rsidR="00B73414">
        <w:rPr>
          <w:b/>
          <w:lang w:val="hr-BA"/>
        </w:rPr>
        <w:t>za</w:t>
      </w:r>
      <w:r w:rsidRPr="00CA441D">
        <w:rPr>
          <w:b/>
          <w:lang w:val="hr-BA"/>
        </w:rPr>
        <w:t xml:space="preserve"> materijal i usluge</w:t>
      </w:r>
      <w:r w:rsidR="00FE5F54" w:rsidRPr="00CA441D">
        <w:rPr>
          <w:b/>
          <w:lang w:val="hr-BA"/>
        </w:rPr>
        <w:t>,</w:t>
      </w:r>
      <w:r w:rsidRPr="00CA441D">
        <w:rPr>
          <w:lang w:val="hr-BA"/>
        </w:rPr>
        <w:t xml:space="preserve"> </w:t>
      </w:r>
      <w:r w:rsidR="00FE5F54" w:rsidRPr="00CA441D">
        <w:rPr>
          <w:lang w:val="hr-BA"/>
        </w:rPr>
        <w:t xml:space="preserve">prema okvirnom budžetu, </w:t>
      </w:r>
      <w:r w:rsidRPr="00CA441D">
        <w:rPr>
          <w:lang w:val="hr-BA"/>
        </w:rPr>
        <w:t xml:space="preserve">se procjenjuje na </w:t>
      </w:r>
      <w:r w:rsidR="0014339C" w:rsidRPr="00CA441D">
        <w:rPr>
          <w:lang w:val="hr-HR"/>
        </w:rPr>
        <w:t>2,56</w:t>
      </w:r>
      <w:r w:rsidR="001A0618" w:rsidRPr="00CA441D">
        <w:rPr>
          <w:lang w:val="hr-HR"/>
        </w:rPr>
        <w:t xml:space="preserve"> </w:t>
      </w:r>
      <w:r w:rsidR="009C7161" w:rsidRPr="00CA441D">
        <w:rPr>
          <w:lang w:val="hr-BA"/>
        </w:rPr>
        <w:t>mil.</w:t>
      </w:r>
      <w:r w:rsidRPr="00CA441D">
        <w:rPr>
          <w:lang w:val="hr-BA"/>
        </w:rPr>
        <w:t xml:space="preserve"> KM u 20</w:t>
      </w:r>
      <w:r w:rsidR="002828F8" w:rsidRPr="00CA441D">
        <w:rPr>
          <w:lang w:val="hr-HR"/>
        </w:rPr>
        <w:t>2</w:t>
      </w:r>
      <w:r w:rsidR="0014339C" w:rsidRPr="00CA441D">
        <w:rPr>
          <w:lang w:val="hr-HR"/>
        </w:rPr>
        <w:t>4</w:t>
      </w:r>
      <w:r w:rsidRPr="00CA441D">
        <w:rPr>
          <w:lang w:val="hr-BA"/>
        </w:rPr>
        <w:t xml:space="preserve">. godini, što predstavlja </w:t>
      </w:r>
      <w:r w:rsidR="0014339C" w:rsidRPr="00CA441D">
        <w:rPr>
          <w:lang w:val="hr-BA"/>
        </w:rPr>
        <w:t>16,93</w:t>
      </w:r>
      <w:r w:rsidR="00894277" w:rsidRPr="00CA441D">
        <w:rPr>
          <w:lang w:val="hr-BA"/>
        </w:rPr>
        <w:t xml:space="preserve">% ukupnog Budžeta </w:t>
      </w:r>
      <w:r w:rsidR="0014339C" w:rsidRPr="00CA441D">
        <w:rPr>
          <w:lang w:val="hr-BA"/>
        </w:rPr>
        <w:t>Grada</w:t>
      </w:r>
      <w:r w:rsidR="00211891" w:rsidRPr="00CA441D">
        <w:rPr>
          <w:lang w:val="hr-BA"/>
        </w:rPr>
        <w:t xml:space="preserve">. </w:t>
      </w:r>
    </w:p>
    <w:p w:rsidR="008325ED" w:rsidRPr="00CA441D" w:rsidRDefault="008325ED" w:rsidP="00FE655A">
      <w:pPr>
        <w:rPr>
          <w:b/>
          <w:lang w:val="hr-BA"/>
        </w:rPr>
      </w:pPr>
    </w:p>
    <w:p w:rsidR="00B6443F" w:rsidRPr="00CA441D" w:rsidRDefault="00B6443F" w:rsidP="00486134">
      <w:pPr>
        <w:ind w:firstLine="720"/>
        <w:jc w:val="both"/>
        <w:rPr>
          <w:lang w:val="hr-HR"/>
        </w:rPr>
      </w:pPr>
      <w:r w:rsidRPr="00CA441D">
        <w:rPr>
          <w:b/>
          <w:szCs w:val="21"/>
          <w:lang w:val="hr-BA"/>
        </w:rPr>
        <w:t>Ukupno</w:t>
      </w:r>
      <w:r w:rsidRPr="00CA441D">
        <w:rPr>
          <w:b/>
          <w:lang w:val="hr-HR"/>
        </w:rPr>
        <w:t xml:space="preserve"> projiciran</w:t>
      </w:r>
      <w:r w:rsidRPr="00CA441D">
        <w:rPr>
          <w:b/>
          <w:szCs w:val="21"/>
          <w:lang w:val="hr-BA"/>
        </w:rPr>
        <w:t>i</w:t>
      </w:r>
      <w:r w:rsidR="00211891" w:rsidRPr="00CA441D">
        <w:rPr>
          <w:b/>
          <w:lang w:val="hr-HR"/>
        </w:rPr>
        <w:t xml:space="preserve"> tekući transferi</w:t>
      </w:r>
      <w:r w:rsidR="003B5011" w:rsidRPr="00CA441D">
        <w:rPr>
          <w:lang w:val="hr-HR"/>
        </w:rPr>
        <w:t xml:space="preserve"> u 20</w:t>
      </w:r>
      <w:r w:rsidR="002828F8" w:rsidRPr="00CA441D">
        <w:rPr>
          <w:lang w:val="hr-HR"/>
        </w:rPr>
        <w:t>2</w:t>
      </w:r>
      <w:r w:rsidR="0014339C" w:rsidRPr="00CA441D">
        <w:rPr>
          <w:lang w:val="hr-HR"/>
        </w:rPr>
        <w:t>4</w:t>
      </w:r>
      <w:r w:rsidR="00B82809" w:rsidRPr="00CA441D">
        <w:rPr>
          <w:lang w:val="hr-HR"/>
        </w:rPr>
        <w:t>. godini</w:t>
      </w:r>
      <w:r w:rsidR="00FE5F54" w:rsidRPr="00CA441D">
        <w:rPr>
          <w:lang w:val="hr-HR"/>
        </w:rPr>
        <w:t>,</w:t>
      </w:r>
      <w:r w:rsidR="00FE5F54" w:rsidRPr="00CA441D">
        <w:rPr>
          <w:lang w:val="hr-BA"/>
        </w:rPr>
        <w:t xml:space="preserve"> prema okvirnom budžetu,</w:t>
      </w:r>
      <w:r w:rsidR="00B82809" w:rsidRPr="00CA441D">
        <w:rPr>
          <w:lang w:val="hr-HR"/>
        </w:rPr>
        <w:t xml:space="preserve"> iznose </w:t>
      </w:r>
      <w:r w:rsidR="0014339C" w:rsidRPr="00CA441D">
        <w:rPr>
          <w:lang w:val="hr-HR"/>
        </w:rPr>
        <w:t xml:space="preserve">3,99 </w:t>
      </w:r>
      <w:r w:rsidR="009C7161" w:rsidRPr="00CA441D">
        <w:rPr>
          <w:lang w:val="hr-HR"/>
        </w:rPr>
        <w:t>mil.</w:t>
      </w:r>
      <w:r w:rsidR="00486134">
        <w:rPr>
          <w:lang w:val="hr-HR"/>
        </w:rPr>
        <w:t xml:space="preserve"> KM,</w:t>
      </w:r>
      <w:r w:rsidR="00486134" w:rsidRPr="00486134">
        <w:rPr>
          <w:lang w:val="hr-BA"/>
        </w:rPr>
        <w:t xml:space="preserve"> </w:t>
      </w:r>
      <w:r w:rsidR="00486134" w:rsidRPr="00CA441D">
        <w:rPr>
          <w:lang w:val="hr-BA"/>
        </w:rPr>
        <w:t xml:space="preserve">što predstavlja </w:t>
      </w:r>
      <w:r w:rsidR="00486134">
        <w:rPr>
          <w:lang w:val="hr-BA"/>
        </w:rPr>
        <w:t>26,37</w:t>
      </w:r>
      <w:r w:rsidR="00486134" w:rsidRPr="00CA441D">
        <w:rPr>
          <w:lang w:val="hr-BA"/>
        </w:rPr>
        <w:t xml:space="preserve">% ukupnog Budžeta Grada. </w:t>
      </w:r>
    </w:p>
    <w:p w:rsidR="008325ED" w:rsidRPr="00CA441D" w:rsidRDefault="00B6443F" w:rsidP="00486134">
      <w:pPr>
        <w:pStyle w:val="BodyText"/>
        <w:spacing w:after="0"/>
        <w:ind w:firstLine="720"/>
        <w:jc w:val="both"/>
        <w:rPr>
          <w:b/>
          <w:lang w:val="hr-BA"/>
        </w:rPr>
      </w:pPr>
      <w:r w:rsidRPr="00CA441D">
        <w:rPr>
          <w:lang w:val="hr-HR"/>
        </w:rPr>
        <w:t>U strukturi planiranih tekućih tr</w:t>
      </w:r>
      <w:r w:rsidR="003B5011" w:rsidRPr="00CA441D">
        <w:rPr>
          <w:lang w:val="hr-HR"/>
        </w:rPr>
        <w:t>ansfera za 20</w:t>
      </w:r>
      <w:r w:rsidR="002828F8" w:rsidRPr="00CA441D">
        <w:rPr>
          <w:lang w:val="hr-HR"/>
        </w:rPr>
        <w:t>2</w:t>
      </w:r>
      <w:r w:rsidR="0014339C" w:rsidRPr="00CA441D">
        <w:rPr>
          <w:lang w:val="hr-HR"/>
        </w:rPr>
        <w:t>4</w:t>
      </w:r>
      <w:r w:rsidRPr="00CA441D">
        <w:rPr>
          <w:lang w:val="hr-HR"/>
        </w:rPr>
        <w:t>. godinu</w:t>
      </w:r>
      <w:r w:rsidR="00CB76EF" w:rsidRPr="00CA441D">
        <w:rPr>
          <w:lang w:val="hr-HR"/>
        </w:rPr>
        <w:t>,</w:t>
      </w:r>
      <w:r w:rsidRPr="00CA441D">
        <w:rPr>
          <w:lang w:val="hr-HR"/>
        </w:rPr>
        <w:t xml:space="preserve"> najveći dio se odnosi na transfere iz oblasti socijalne zaštite</w:t>
      </w:r>
      <w:r w:rsidR="00340609" w:rsidRPr="00CA441D">
        <w:rPr>
          <w:lang w:val="hr-HR"/>
        </w:rPr>
        <w:t>,</w:t>
      </w:r>
      <w:r w:rsidRPr="00CA441D">
        <w:rPr>
          <w:lang w:val="hr-HR"/>
        </w:rPr>
        <w:t xml:space="preserve"> pitanja povratka izbjeglih i ra</w:t>
      </w:r>
      <w:r w:rsidR="005F346D" w:rsidRPr="00CA441D">
        <w:rPr>
          <w:lang w:val="hr-HR"/>
        </w:rPr>
        <w:t>seljenih lica</w:t>
      </w:r>
      <w:r w:rsidRPr="00CA441D">
        <w:rPr>
          <w:lang w:val="hr-HR"/>
        </w:rPr>
        <w:t>, transfere iz oblasti obrazovanja, nauke, ku</w:t>
      </w:r>
      <w:r w:rsidR="005F346D" w:rsidRPr="00CA441D">
        <w:rPr>
          <w:lang w:val="hr-HR"/>
        </w:rPr>
        <w:t>lture i sporta</w:t>
      </w:r>
      <w:r w:rsidRPr="00CA441D">
        <w:rPr>
          <w:lang w:val="hr-HR"/>
        </w:rPr>
        <w:t>, transfere iz oblasti rješavanja pitanja prava pripadnika bora</w:t>
      </w:r>
      <w:r w:rsidR="005F346D" w:rsidRPr="00CA441D">
        <w:rPr>
          <w:lang w:val="hr-HR"/>
        </w:rPr>
        <w:t>čke populacije</w:t>
      </w:r>
      <w:r w:rsidR="002E31A8" w:rsidRPr="00CA441D">
        <w:rPr>
          <w:lang w:val="hr-HR"/>
        </w:rPr>
        <w:t xml:space="preserve"> (transferi drugim nivoima vlasti i pojedincima)</w:t>
      </w:r>
      <w:r w:rsidR="005F346D" w:rsidRPr="00CA441D">
        <w:rPr>
          <w:lang w:val="hr-HR"/>
        </w:rPr>
        <w:t xml:space="preserve"> </w:t>
      </w:r>
      <w:r w:rsidRPr="00CA441D">
        <w:rPr>
          <w:lang w:val="hr-HR"/>
        </w:rPr>
        <w:t xml:space="preserve"> i ostale te</w:t>
      </w:r>
      <w:r w:rsidR="00340609" w:rsidRPr="00CA441D">
        <w:rPr>
          <w:lang w:val="hr-HR"/>
        </w:rPr>
        <w:t>kuće transfere</w:t>
      </w:r>
      <w:r w:rsidRPr="00CA441D">
        <w:rPr>
          <w:lang w:val="hr-HR"/>
        </w:rPr>
        <w:t xml:space="preserve">. </w:t>
      </w:r>
      <w:bookmarkStart w:id="5" w:name="_Toc164073115"/>
    </w:p>
    <w:p w:rsidR="00D238FA" w:rsidRPr="00CA441D" w:rsidRDefault="00D238FA" w:rsidP="00D238FA">
      <w:pPr>
        <w:rPr>
          <w:lang w:val="hr-HR"/>
        </w:rPr>
      </w:pPr>
    </w:p>
    <w:p w:rsidR="0014339C" w:rsidRPr="00CA441D" w:rsidRDefault="00B6443F" w:rsidP="00D60813">
      <w:pPr>
        <w:ind w:firstLine="720"/>
        <w:jc w:val="both"/>
        <w:rPr>
          <w:lang w:val="hr-BA"/>
        </w:rPr>
      </w:pPr>
      <w:r w:rsidRPr="00486134">
        <w:rPr>
          <w:b/>
          <w:lang w:val="hr-BA"/>
        </w:rPr>
        <w:t>Ukupni</w:t>
      </w:r>
      <w:r w:rsidRPr="00486134">
        <w:rPr>
          <w:b/>
          <w:lang w:val="hr-HR"/>
        </w:rPr>
        <w:t xml:space="preserve"> </w:t>
      </w:r>
      <w:r w:rsidRPr="00486134">
        <w:rPr>
          <w:b/>
          <w:lang w:val="hr-BA"/>
        </w:rPr>
        <w:t>kapitalni</w:t>
      </w:r>
      <w:r w:rsidR="0014339C" w:rsidRPr="00486134">
        <w:rPr>
          <w:b/>
          <w:lang w:val="hr-BA"/>
        </w:rPr>
        <w:t xml:space="preserve"> transferi i kapitalni </w:t>
      </w:r>
      <w:r w:rsidRPr="00486134">
        <w:rPr>
          <w:b/>
          <w:lang w:val="hr-BA"/>
        </w:rPr>
        <w:t>izdaci</w:t>
      </w:r>
      <w:r w:rsidR="00FE5F54" w:rsidRPr="00CA441D">
        <w:rPr>
          <w:lang w:val="hr-HR"/>
        </w:rPr>
        <w:t>,</w:t>
      </w:r>
      <w:r w:rsidR="00FE5F54" w:rsidRPr="00CA441D">
        <w:rPr>
          <w:lang w:val="hr-BA"/>
        </w:rPr>
        <w:t xml:space="preserve"> prema okvirnom budžetu,</w:t>
      </w:r>
      <w:r w:rsidR="00FE5F54" w:rsidRPr="00CA441D">
        <w:rPr>
          <w:lang w:val="hr-HR"/>
        </w:rPr>
        <w:t xml:space="preserve"> </w:t>
      </w:r>
      <w:r w:rsidRPr="00CA441D">
        <w:rPr>
          <w:lang w:val="hr-BA"/>
        </w:rPr>
        <w:t>se pro</w:t>
      </w:r>
      <w:r w:rsidR="00211891" w:rsidRPr="00CA441D">
        <w:rPr>
          <w:lang w:val="hr-BA"/>
        </w:rPr>
        <w:t>jiciraju</w:t>
      </w:r>
      <w:r w:rsidRPr="00CA441D">
        <w:rPr>
          <w:lang w:val="hr-BA"/>
        </w:rPr>
        <w:t xml:space="preserve"> na </w:t>
      </w:r>
      <w:r w:rsidR="0014339C" w:rsidRPr="00CA441D">
        <w:rPr>
          <w:lang w:val="hr-HR"/>
        </w:rPr>
        <w:t>4,21</w:t>
      </w:r>
      <w:r w:rsidR="00B80AF0" w:rsidRPr="00CA441D">
        <w:rPr>
          <w:lang w:val="hr-HR"/>
        </w:rPr>
        <w:t xml:space="preserve"> </w:t>
      </w:r>
      <w:r w:rsidR="00CB1611" w:rsidRPr="00CA441D">
        <w:rPr>
          <w:lang w:val="hr-BA"/>
        </w:rPr>
        <w:t>mil.</w:t>
      </w:r>
      <w:r w:rsidRPr="00CA441D">
        <w:rPr>
          <w:lang w:val="hr-BA"/>
        </w:rPr>
        <w:t xml:space="preserve"> KM u 20</w:t>
      </w:r>
      <w:r w:rsidR="00766887" w:rsidRPr="00CA441D">
        <w:rPr>
          <w:lang w:val="hr-HR"/>
        </w:rPr>
        <w:t>2</w:t>
      </w:r>
      <w:r w:rsidR="0014339C" w:rsidRPr="00CA441D">
        <w:rPr>
          <w:lang w:val="hr-HR"/>
        </w:rPr>
        <w:t>4</w:t>
      </w:r>
      <w:r w:rsidR="00072598" w:rsidRPr="00CA441D">
        <w:rPr>
          <w:lang w:val="hr-BA"/>
        </w:rPr>
        <w:t>. godini,</w:t>
      </w:r>
      <w:r w:rsidR="00486134" w:rsidRPr="00486134">
        <w:rPr>
          <w:lang w:val="hr-BA"/>
        </w:rPr>
        <w:t xml:space="preserve"> </w:t>
      </w:r>
      <w:r w:rsidR="00486134" w:rsidRPr="00CA441D">
        <w:rPr>
          <w:lang w:val="hr-BA"/>
        </w:rPr>
        <w:t xml:space="preserve">što predstavlja </w:t>
      </w:r>
      <w:r w:rsidR="00486134">
        <w:rPr>
          <w:lang w:val="hr-BA"/>
        </w:rPr>
        <w:t>27,83</w:t>
      </w:r>
      <w:r w:rsidR="00486134" w:rsidRPr="00CA441D">
        <w:rPr>
          <w:lang w:val="hr-BA"/>
        </w:rPr>
        <w:t>% ukupnog Budžeta Grada</w:t>
      </w:r>
      <w:r w:rsidR="00486134">
        <w:rPr>
          <w:lang w:val="hr-BA"/>
        </w:rPr>
        <w:t xml:space="preserve">, </w:t>
      </w:r>
      <w:r w:rsidR="00072598" w:rsidRPr="00CA441D">
        <w:rPr>
          <w:lang w:val="hr-BA"/>
        </w:rPr>
        <w:t xml:space="preserve">a ostali rashodi </w:t>
      </w:r>
      <w:r w:rsidR="00B73414">
        <w:rPr>
          <w:lang w:val="hr-BA"/>
        </w:rPr>
        <w:t xml:space="preserve">i  zaduživanje (garancija JKP </w:t>
      </w:r>
      <w:r w:rsidR="00BE3B13">
        <w:rPr>
          <w:lang w:val="hr-BA"/>
        </w:rPr>
        <w:t>R</w:t>
      </w:r>
      <w:r w:rsidR="00B73414">
        <w:rPr>
          <w:lang w:val="hr-BA"/>
        </w:rPr>
        <w:t>adnik) se planiraju u iznosu od 0,82</w:t>
      </w:r>
      <w:r w:rsidR="00ED5EDE">
        <w:rPr>
          <w:lang w:val="hr-BA"/>
        </w:rPr>
        <w:t xml:space="preserve"> % ukupnog Budžeta Grda</w:t>
      </w:r>
      <w:r w:rsidR="00072598" w:rsidRPr="00CA441D">
        <w:rPr>
          <w:lang w:val="hr-BA"/>
        </w:rPr>
        <w:t xml:space="preserve"> KM.</w:t>
      </w:r>
    </w:p>
    <w:p w:rsidR="00D60813" w:rsidRPr="00CA441D" w:rsidRDefault="00D60813" w:rsidP="00D60813">
      <w:pPr>
        <w:ind w:firstLine="720"/>
        <w:jc w:val="both"/>
        <w:rPr>
          <w:lang w:val="hr-BA"/>
        </w:rPr>
      </w:pPr>
    </w:p>
    <w:bookmarkEnd w:id="5"/>
    <w:p w:rsidR="00B6443F" w:rsidRPr="00CA441D" w:rsidRDefault="00B6443F">
      <w:pPr>
        <w:ind w:firstLine="720"/>
        <w:jc w:val="both"/>
        <w:rPr>
          <w:szCs w:val="22"/>
          <w:lang w:val="hr-HR"/>
        </w:rPr>
      </w:pPr>
      <w:r w:rsidRPr="00CA441D">
        <w:rPr>
          <w:szCs w:val="22"/>
          <w:lang w:val="hr-BA"/>
        </w:rPr>
        <w:t>Budžet je glavni inst</w:t>
      </w:r>
      <w:r w:rsidR="00396D47" w:rsidRPr="00CA441D">
        <w:rPr>
          <w:szCs w:val="22"/>
          <w:lang w:val="hr-BA"/>
        </w:rPr>
        <w:t>rument za određivanje politika</w:t>
      </w:r>
      <w:r w:rsidRPr="00CA441D">
        <w:rPr>
          <w:szCs w:val="22"/>
          <w:lang w:val="hr-BA"/>
        </w:rPr>
        <w:t>. On je sredstvo pu</w:t>
      </w:r>
      <w:r w:rsidR="00FD7881" w:rsidRPr="00CA441D">
        <w:rPr>
          <w:szCs w:val="22"/>
          <w:lang w:val="hr-BA"/>
        </w:rPr>
        <w:t xml:space="preserve">tem kojeg se strateški ciljevi </w:t>
      </w:r>
      <w:r w:rsidRPr="00CA441D">
        <w:rPr>
          <w:szCs w:val="22"/>
          <w:lang w:val="hr-BA"/>
        </w:rPr>
        <w:t xml:space="preserve">prevode u usluge, programe i aktivnosti koje su usmjerene ka ispunjavanju socijalnih i ekonomskih potreba građana. </w:t>
      </w:r>
    </w:p>
    <w:p w:rsidR="00B6443F" w:rsidRPr="00CA441D" w:rsidRDefault="00C15971">
      <w:pPr>
        <w:ind w:firstLine="720"/>
        <w:jc w:val="both"/>
        <w:rPr>
          <w:lang w:val="hr-BA"/>
        </w:rPr>
      </w:pPr>
      <w:r w:rsidRPr="00CA441D">
        <w:rPr>
          <w:lang w:val="hr-BA"/>
        </w:rPr>
        <w:t>Suočen</w:t>
      </w:r>
      <w:r w:rsidR="00B6443F" w:rsidRPr="00CA441D">
        <w:rPr>
          <w:lang w:val="hr-BA"/>
        </w:rPr>
        <w:t xml:space="preserve"> sa prioritetima i zahtjevima </w:t>
      </w:r>
      <w:r w:rsidR="008A1DFA">
        <w:rPr>
          <w:lang w:val="hr-BA"/>
        </w:rPr>
        <w:t>korisnika budžetskih sredstava</w:t>
      </w:r>
      <w:r w:rsidR="00D15AEA">
        <w:rPr>
          <w:lang w:val="hr-BA"/>
        </w:rPr>
        <w:t>,</w:t>
      </w:r>
      <w:r w:rsidR="00B6443F" w:rsidRPr="00CA441D">
        <w:rPr>
          <w:lang w:val="hr-BA"/>
        </w:rPr>
        <w:t xml:space="preserve"> koji </w:t>
      </w:r>
      <w:r w:rsidR="004B7D0D" w:rsidRPr="00CA441D">
        <w:rPr>
          <w:lang w:val="hr-BA"/>
        </w:rPr>
        <w:t>prevazilaze</w:t>
      </w:r>
      <w:r w:rsidR="00B6443F" w:rsidRPr="00CA441D">
        <w:rPr>
          <w:lang w:val="hr-BA"/>
        </w:rPr>
        <w:t xml:space="preserve"> nivo raspoloživih resursa, </w:t>
      </w:r>
      <w:r w:rsidR="00396D47" w:rsidRPr="00CA441D">
        <w:rPr>
          <w:lang w:val="hr-BA"/>
        </w:rPr>
        <w:t>Gradonačelnik</w:t>
      </w:r>
      <w:r w:rsidRPr="00CA441D">
        <w:rPr>
          <w:lang w:val="hr-BA"/>
        </w:rPr>
        <w:t xml:space="preserve"> je obavezan</w:t>
      </w:r>
      <w:r w:rsidR="00B6443F" w:rsidRPr="00CA441D">
        <w:rPr>
          <w:lang w:val="hr-BA"/>
        </w:rPr>
        <w:t xml:space="preserve"> da donese odluke o tome koje su prioritetne politi</w:t>
      </w:r>
      <w:r w:rsidR="00D238FA" w:rsidRPr="00CA441D">
        <w:rPr>
          <w:lang w:val="hr-BA"/>
        </w:rPr>
        <w:t xml:space="preserve">ke. </w:t>
      </w:r>
      <w:r w:rsidR="00E1264D" w:rsidRPr="00473FEA">
        <w:rPr>
          <w:lang w:val="hr-BA"/>
        </w:rPr>
        <w:t>Gradske</w:t>
      </w:r>
      <w:r w:rsidRPr="00473FEA">
        <w:rPr>
          <w:lang w:val="hr-BA"/>
        </w:rPr>
        <w:t xml:space="preserve"> službe su imale</w:t>
      </w:r>
      <w:r w:rsidR="00B6443F" w:rsidRPr="00473FEA">
        <w:rPr>
          <w:lang w:val="hr-BA"/>
        </w:rPr>
        <w:t xml:space="preserve"> obavezu pripremiti i dostaviti </w:t>
      </w:r>
      <w:r w:rsidRPr="00473FEA">
        <w:rPr>
          <w:lang w:val="hr-BA"/>
        </w:rPr>
        <w:t xml:space="preserve">Službi za upravu </w:t>
      </w:r>
      <w:r w:rsidR="00396D47" w:rsidRPr="00473FEA">
        <w:rPr>
          <w:lang w:val="hr-BA"/>
        </w:rPr>
        <w:t>finansija, budžet i trezor,</w:t>
      </w:r>
      <w:r w:rsidRPr="00473FEA">
        <w:rPr>
          <w:lang w:val="hr-BA"/>
        </w:rPr>
        <w:t xml:space="preserve"> svoje </w:t>
      </w:r>
      <w:r w:rsidR="00C348E3" w:rsidRPr="00473FEA">
        <w:rPr>
          <w:lang w:val="hr-BA"/>
        </w:rPr>
        <w:t>prijedloge</w:t>
      </w:r>
      <w:r w:rsidR="00B6443F" w:rsidRPr="00473FEA">
        <w:rPr>
          <w:lang w:val="hr-BA"/>
        </w:rPr>
        <w:t xml:space="preserve"> prioriteta </w:t>
      </w:r>
      <w:r w:rsidRPr="00473FEA">
        <w:rPr>
          <w:lang w:val="hr-BA"/>
        </w:rPr>
        <w:t>potrošnje</w:t>
      </w:r>
      <w:r w:rsidR="005D71D2">
        <w:rPr>
          <w:lang w:val="hr-BA"/>
        </w:rPr>
        <w:t xml:space="preserve"> za period 2024.-2026. godine, što je osnov za izradu</w:t>
      </w:r>
      <w:r w:rsidR="00B6443F" w:rsidRPr="00473FEA">
        <w:rPr>
          <w:lang w:val="hr-BA"/>
        </w:rPr>
        <w:t xml:space="preserve"> Dokumenta okvirnog budžeta za period 20</w:t>
      </w:r>
      <w:r w:rsidR="00DD2324" w:rsidRPr="00473FEA">
        <w:rPr>
          <w:lang w:val="hr-HR"/>
        </w:rPr>
        <w:t>2</w:t>
      </w:r>
      <w:r w:rsidR="00473FEA">
        <w:rPr>
          <w:lang w:val="hr-HR"/>
        </w:rPr>
        <w:t>4</w:t>
      </w:r>
      <w:r w:rsidR="00FD7383" w:rsidRPr="00473FEA">
        <w:rPr>
          <w:lang w:val="hr-BA"/>
        </w:rPr>
        <w:t>.</w:t>
      </w:r>
      <w:r w:rsidR="00D238FA" w:rsidRPr="00473FEA">
        <w:rPr>
          <w:lang w:val="hr-BA"/>
        </w:rPr>
        <w:t xml:space="preserve"> - </w:t>
      </w:r>
      <w:r w:rsidR="00DD2324" w:rsidRPr="00473FEA">
        <w:rPr>
          <w:lang w:val="hr-BA"/>
        </w:rPr>
        <w:t>202</w:t>
      </w:r>
      <w:r w:rsidR="00473FEA">
        <w:rPr>
          <w:lang w:val="hr-BA"/>
        </w:rPr>
        <w:t>6</w:t>
      </w:r>
      <w:r w:rsidR="00B6443F" w:rsidRPr="00473FEA">
        <w:rPr>
          <w:lang w:val="hr-BA"/>
        </w:rPr>
        <w:t>. godin</w:t>
      </w:r>
      <w:r w:rsidR="00560147" w:rsidRPr="00473FEA">
        <w:rPr>
          <w:lang w:val="hr-BA"/>
        </w:rPr>
        <w:t>e</w:t>
      </w:r>
      <w:r w:rsidR="00046D8B" w:rsidRPr="00473FEA">
        <w:rPr>
          <w:lang w:val="hr-BA"/>
        </w:rPr>
        <w:t>,</w:t>
      </w:r>
      <w:r w:rsidR="00B6443F" w:rsidRPr="00473FEA">
        <w:rPr>
          <w:lang w:val="hr-BA"/>
        </w:rPr>
        <w:t xml:space="preserve"> </w:t>
      </w:r>
      <w:r w:rsidR="009F44C9">
        <w:rPr>
          <w:lang w:val="hr-BA"/>
        </w:rPr>
        <w:t xml:space="preserve">te </w:t>
      </w:r>
      <w:r w:rsidR="005D71D2">
        <w:rPr>
          <w:lang w:val="hr-BA"/>
        </w:rPr>
        <w:t xml:space="preserve"> su na taj način utvrđeni</w:t>
      </w:r>
      <w:r w:rsidR="00B6443F" w:rsidRPr="00473FEA">
        <w:rPr>
          <w:lang w:val="hr-BA"/>
        </w:rPr>
        <w:t xml:space="preserve"> </w:t>
      </w:r>
      <w:r w:rsidR="009F44C9">
        <w:rPr>
          <w:lang w:val="hr-BA"/>
        </w:rPr>
        <w:t xml:space="preserve">i </w:t>
      </w:r>
      <w:r w:rsidR="00B6443F" w:rsidRPr="00473FEA">
        <w:rPr>
          <w:lang w:val="hr-BA"/>
        </w:rPr>
        <w:t>ključn</w:t>
      </w:r>
      <w:r w:rsidR="005D71D2">
        <w:rPr>
          <w:lang w:val="hr-BA"/>
        </w:rPr>
        <w:t>i</w:t>
      </w:r>
      <w:r w:rsidR="00B6443F" w:rsidRPr="00473FEA">
        <w:rPr>
          <w:lang w:val="hr-BA"/>
        </w:rPr>
        <w:t xml:space="preserve"> prioritet</w:t>
      </w:r>
      <w:r w:rsidR="005D71D2">
        <w:rPr>
          <w:lang w:val="hr-BA"/>
        </w:rPr>
        <w:t>i za</w:t>
      </w:r>
      <w:r w:rsidR="00B6443F" w:rsidRPr="00473FEA">
        <w:rPr>
          <w:lang w:val="hr-BA"/>
        </w:rPr>
        <w:t xml:space="preserve"> raspodjelu budžeta za 20</w:t>
      </w:r>
      <w:r w:rsidR="00EC2B2C" w:rsidRPr="00473FEA">
        <w:rPr>
          <w:lang w:val="hr-HR"/>
        </w:rPr>
        <w:t>2</w:t>
      </w:r>
      <w:r w:rsidR="00473FEA">
        <w:rPr>
          <w:lang w:val="hr-HR"/>
        </w:rPr>
        <w:t>4</w:t>
      </w:r>
      <w:r w:rsidR="00F06A5D">
        <w:rPr>
          <w:lang w:val="hr-BA"/>
        </w:rPr>
        <w:t>. godinu i za naredne godine.</w:t>
      </w:r>
      <w:r w:rsidR="00B6443F" w:rsidRPr="00CA441D">
        <w:rPr>
          <w:lang w:val="hr-BA"/>
        </w:rPr>
        <w:t xml:space="preserve"> Korisnici</w:t>
      </w:r>
      <w:r w:rsidR="00492EBE">
        <w:rPr>
          <w:lang w:val="hr-BA"/>
        </w:rPr>
        <w:t xml:space="preserve"> budžetskih sredstava</w:t>
      </w:r>
      <w:r w:rsidR="00B6443F" w:rsidRPr="00CA441D">
        <w:rPr>
          <w:lang w:val="hr-BA"/>
        </w:rPr>
        <w:t xml:space="preserve"> su utv</w:t>
      </w:r>
      <w:r w:rsidR="00D238FA" w:rsidRPr="00CA441D">
        <w:rPr>
          <w:lang w:val="hr-BA"/>
        </w:rPr>
        <w:t xml:space="preserve">rdili svoje </w:t>
      </w:r>
      <w:r w:rsidR="00B52702" w:rsidRPr="00CA441D">
        <w:rPr>
          <w:lang w:val="hr-BA"/>
        </w:rPr>
        <w:t xml:space="preserve">prioritetne </w:t>
      </w:r>
      <w:r w:rsidR="00D238FA" w:rsidRPr="00CA441D">
        <w:rPr>
          <w:lang w:val="hr-BA"/>
        </w:rPr>
        <w:t xml:space="preserve">prijedloge potrošnje </w:t>
      </w:r>
      <w:r w:rsidR="00B6443F" w:rsidRPr="00CA441D">
        <w:rPr>
          <w:lang w:val="hr-BA"/>
        </w:rPr>
        <w:t>(za posto</w:t>
      </w:r>
      <w:r w:rsidR="00D238FA" w:rsidRPr="00CA441D">
        <w:rPr>
          <w:lang w:val="hr-BA"/>
        </w:rPr>
        <w:t>jeće i nove programe/aktivnosti</w:t>
      </w:r>
      <w:r w:rsidR="00B6443F" w:rsidRPr="00CA441D">
        <w:rPr>
          <w:lang w:val="hr-BA"/>
        </w:rPr>
        <w:t xml:space="preserve">), kao i moguće uštede/opcije smanjenja za programe </w:t>
      </w:r>
      <w:r w:rsidR="00B52702" w:rsidRPr="00CA441D">
        <w:rPr>
          <w:lang w:val="hr-BA"/>
        </w:rPr>
        <w:t>manjeg</w:t>
      </w:r>
      <w:r w:rsidR="00B6443F" w:rsidRPr="00CA441D">
        <w:rPr>
          <w:lang w:val="hr-BA"/>
        </w:rPr>
        <w:t xml:space="preserve"> prioriteta, kako bi se ti resursi preusmjerili </w:t>
      </w:r>
      <w:r w:rsidR="0003577E" w:rsidRPr="00CA441D">
        <w:rPr>
          <w:lang w:val="hr-BA"/>
        </w:rPr>
        <w:t xml:space="preserve">na inicijative višeg prioriteta, te dostavili </w:t>
      </w:r>
      <w:r w:rsidRPr="00CA441D">
        <w:rPr>
          <w:lang w:val="hr-BA"/>
        </w:rPr>
        <w:t xml:space="preserve">Službi za upravu </w:t>
      </w:r>
      <w:r w:rsidR="008B5D46" w:rsidRPr="00CA441D">
        <w:rPr>
          <w:lang w:val="hr-BA"/>
        </w:rPr>
        <w:t>finansija, b</w:t>
      </w:r>
      <w:r w:rsidR="00F06A5D">
        <w:rPr>
          <w:lang w:val="hr-BA"/>
        </w:rPr>
        <w:t>u</w:t>
      </w:r>
      <w:r w:rsidR="008B5D46" w:rsidRPr="00CA441D">
        <w:rPr>
          <w:lang w:val="hr-BA"/>
        </w:rPr>
        <w:t>džet i trezor</w:t>
      </w:r>
      <w:r w:rsidRPr="00CA441D">
        <w:rPr>
          <w:lang w:val="hr-BA"/>
        </w:rPr>
        <w:t>, koja je izvršila</w:t>
      </w:r>
      <w:r w:rsidR="0003577E" w:rsidRPr="00CA441D">
        <w:rPr>
          <w:lang w:val="hr-BA"/>
        </w:rPr>
        <w:t xml:space="preserve"> usaglašavanje prijedloga sa projiciranim prihodima</w:t>
      </w:r>
      <w:r w:rsidR="004147EE" w:rsidRPr="00CA441D">
        <w:rPr>
          <w:lang w:val="hr-BA"/>
        </w:rPr>
        <w:t>.</w:t>
      </w:r>
    </w:p>
    <w:p w:rsidR="00F62484" w:rsidRPr="00CA441D" w:rsidRDefault="00F62484" w:rsidP="00F62484">
      <w:pPr>
        <w:pStyle w:val="BodyTextIndent"/>
        <w:jc w:val="left"/>
        <w:rPr>
          <w:rFonts w:ascii="Times New Roman" w:hAnsi="Times New Roman" w:cs="Times New Roman"/>
        </w:rPr>
      </w:pPr>
      <w:r w:rsidRPr="00CA441D">
        <w:rPr>
          <w:rFonts w:ascii="Times New Roman" w:hAnsi="Times New Roman" w:cs="Times New Roman"/>
        </w:rPr>
        <w:t xml:space="preserve">                                                        </w:t>
      </w:r>
    </w:p>
    <w:p w:rsidR="00072598" w:rsidRPr="00CA441D" w:rsidRDefault="00072598" w:rsidP="00072598">
      <w:pPr>
        <w:pStyle w:val="Default"/>
        <w:ind w:firstLine="709"/>
        <w:jc w:val="both"/>
        <w:rPr>
          <w:rFonts w:ascii="Times New Roman" w:hAnsi="Times New Roman" w:cs="Times New Roman"/>
          <w:color w:val="auto"/>
        </w:rPr>
      </w:pPr>
      <w:r w:rsidRPr="00CA441D">
        <w:rPr>
          <w:rFonts w:ascii="Times New Roman" w:hAnsi="Times New Roman" w:cs="Times New Roman"/>
          <w:iCs/>
          <w:color w:val="auto"/>
        </w:rPr>
        <w:lastRenderedPageBreak/>
        <w:t xml:space="preserve">Osnovni cilj je zadržati pravac razvoja Grada Zavidovići kao lokalne zajednice koja je sposobna zadovoljiti potrebe građana u svim sferama od lokalnog značaja i u okvirima koji proističu iz zakonskih obaveza i općih akata. </w:t>
      </w:r>
    </w:p>
    <w:p w:rsidR="00072598" w:rsidRPr="00CA441D" w:rsidRDefault="00072598" w:rsidP="00072598">
      <w:pPr>
        <w:pStyle w:val="Default"/>
        <w:ind w:firstLine="709"/>
        <w:jc w:val="both"/>
        <w:rPr>
          <w:rFonts w:ascii="Times New Roman" w:hAnsi="Times New Roman" w:cs="Times New Roman"/>
          <w:color w:val="auto"/>
          <w:sz w:val="22"/>
          <w:szCs w:val="22"/>
        </w:rPr>
      </w:pPr>
      <w:r w:rsidRPr="00CA441D">
        <w:rPr>
          <w:rFonts w:ascii="Times New Roman" w:hAnsi="Times New Roman" w:cs="Times New Roman"/>
          <w:iCs/>
          <w:color w:val="auto"/>
        </w:rPr>
        <w:t xml:space="preserve">Dosljedno provoditi akte i dokumente sa posebnim akcentom na Strategiju integriranog razvoja Grada Zavidovići za period 2017-2026., kao i sektorskih strategija i drugih programa i planova u okviru koje su jasno definirani strateški ciljevi: </w:t>
      </w:r>
    </w:p>
    <w:p w:rsidR="00072598" w:rsidRPr="00CA441D" w:rsidRDefault="00072598" w:rsidP="00F06A5D">
      <w:pPr>
        <w:autoSpaceDE w:val="0"/>
        <w:autoSpaceDN w:val="0"/>
        <w:adjustRightInd w:val="0"/>
        <w:jc w:val="both"/>
        <w:rPr>
          <w:bCs/>
          <w:i/>
          <w:iCs/>
          <w:lang w:val="bs-Latn-BA" w:eastAsia="bs-Latn-BA"/>
        </w:rPr>
      </w:pPr>
      <w:r w:rsidRPr="00CA441D">
        <w:rPr>
          <w:bCs/>
          <w:i/>
          <w:iCs/>
          <w:lang w:val="bs-Latn-BA" w:eastAsia="bs-Latn-BA"/>
        </w:rPr>
        <w:t>SC 1. Razvoj komunalne i poslovne infrastrukture, jačanje ekonomskih aktivnosti</w:t>
      </w:r>
    </w:p>
    <w:p w:rsidR="00072598" w:rsidRPr="00CA441D" w:rsidRDefault="00072598" w:rsidP="00F06A5D">
      <w:pPr>
        <w:autoSpaceDE w:val="0"/>
        <w:autoSpaceDN w:val="0"/>
        <w:adjustRightInd w:val="0"/>
        <w:rPr>
          <w:bCs/>
          <w:i/>
          <w:iCs/>
          <w:lang w:val="bs-Latn-BA" w:eastAsia="bs-Latn-BA"/>
        </w:rPr>
      </w:pPr>
      <w:r w:rsidRPr="00CA441D">
        <w:rPr>
          <w:bCs/>
          <w:i/>
          <w:iCs/>
          <w:lang w:val="bs-Latn-BA" w:eastAsia="bs-Latn-BA"/>
        </w:rPr>
        <w:t>(razvoj industrije, MSP, turizma i poljoprivrede) i povećanje zaposlenosti</w:t>
      </w:r>
      <w:r w:rsidR="00850818">
        <w:rPr>
          <w:bCs/>
          <w:i/>
          <w:iCs/>
          <w:lang w:val="bs-Latn-BA" w:eastAsia="bs-Latn-BA"/>
        </w:rPr>
        <w:t>,</w:t>
      </w:r>
    </w:p>
    <w:p w:rsidR="00072598" w:rsidRPr="00CA441D" w:rsidRDefault="00072598" w:rsidP="00F06A5D">
      <w:pPr>
        <w:autoSpaceDE w:val="0"/>
        <w:autoSpaceDN w:val="0"/>
        <w:adjustRightInd w:val="0"/>
        <w:jc w:val="both"/>
        <w:rPr>
          <w:bCs/>
          <w:i/>
          <w:iCs/>
          <w:lang w:val="bs-Latn-BA" w:eastAsia="bs-Latn-BA"/>
        </w:rPr>
      </w:pPr>
      <w:r w:rsidRPr="00CA441D">
        <w:rPr>
          <w:bCs/>
          <w:i/>
          <w:iCs/>
          <w:lang w:val="bs-Latn-BA" w:eastAsia="bs-Latn-BA"/>
        </w:rPr>
        <w:t>SC 2. Prepoznatljiv imidž Zavidovića, kao otvoreneog grada sa razvijenom društvenom</w:t>
      </w:r>
      <w:r w:rsidR="00F06A5D">
        <w:rPr>
          <w:bCs/>
          <w:i/>
          <w:iCs/>
          <w:lang w:val="bs-Latn-BA" w:eastAsia="bs-Latn-BA"/>
        </w:rPr>
        <w:t xml:space="preserve"> </w:t>
      </w:r>
      <w:r w:rsidRPr="00CA441D">
        <w:rPr>
          <w:bCs/>
          <w:i/>
          <w:iCs/>
          <w:lang w:val="bs-Latn-BA" w:eastAsia="bs-Latn-BA"/>
        </w:rPr>
        <w:t>infrastrukturom, raznovrsnom turističkom ponudom i efikasnom lokalnom</w:t>
      </w:r>
    </w:p>
    <w:p w:rsidR="00072598" w:rsidRPr="00CA441D" w:rsidRDefault="00072598" w:rsidP="00F06A5D">
      <w:pPr>
        <w:jc w:val="both"/>
        <w:rPr>
          <w:bCs/>
          <w:i/>
          <w:iCs/>
          <w:lang w:val="bs-Latn-BA" w:eastAsia="bs-Latn-BA"/>
        </w:rPr>
      </w:pPr>
      <w:r w:rsidRPr="00CA441D">
        <w:rPr>
          <w:bCs/>
          <w:i/>
          <w:iCs/>
          <w:lang w:val="bs-Latn-BA" w:eastAsia="bs-Latn-BA"/>
        </w:rPr>
        <w:t>upravom, orjentiranom prema EU integracijama</w:t>
      </w:r>
      <w:r w:rsidR="00850818">
        <w:rPr>
          <w:bCs/>
          <w:i/>
          <w:iCs/>
          <w:lang w:val="bs-Latn-BA" w:eastAsia="bs-Latn-BA"/>
        </w:rPr>
        <w:t>,</w:t>
      </w:r>
    </w:p>
    <w:p w:rsidR="00072598" w:rsidRPr="00CA441D" w:rsidRDefault="00072598" w:rsidP="00F06A5D">
      <w:pPr>
        <w:autoSpaceDE w:val="0"/>
        <w:autoSpaceDN w:val="0"/>
        <w:adjustRightInd w:val="0"/>
        <w:jc w:val="both"/>
        <w:rPr>
          <w:b/>
          <w:bCs/>
          <w:i/>
          <w:iCs/>
          <w:lang w:val="bs-Latn-BA" w:eastAsia="bs-Latn-BA"/>
        </w:rPr>
      </w:pPr>
      <w:r w:rsidRPr="00CA441D">
        <w:rPr>
          <w:bCs/>
          <w:i/>
          <w:iCs/>
          <w:lang w:val="bs-Latn-BA" w:eastAsia="bs-Latn-BA"/>
        </w:rPr>
        <w:t>SC 3. Razvijena zajednica koja živi u čistom i zdravom okolišu i svoj razvoj bazira na održivom korištenju prirodnih bogatstava i energetskoj efikasnosti</w:t>
      </w:r>
      <w:r w:rsidR="00850818">
        <w:rPr>
          <w:bCs/>
          <w:i/>
          <w:iCs/>
          <w:lang w:val="bs-Latn-BA" w:eastAsia="bs-Latn-BA"/>
        </w:rPr>
        <w:t>.</w:t>
      </w:r>
    </w:p>
    <w:p w:rsidR="00072598" w:rsidRPr="00CA441D" w:rsidRDefault="00072598" w:rsidP="00072598">
      <w:pPr>
        <w:autoSpaceDE w:val="0"/>
        <w:autoSpaceDN w:val="0"/>
        <w:adjustRightInd w:val="0"/>
        <w:ind w:firstLine="709"/>
        <w:jc w:val="both"/>
        <w:rPr>
          <w:lang w:val="bs-Latn-BA" w:eastAsia="bs-Latn-BA"/>
        </w:rPr>
      </w:pPr>
      <w:r w:rsidRPr="00CA441D">
        <w:rPr>
          <w:lang w:val="bs-Latn-BA" w:eastAsia="bs-Latn-BA"/>
        </w:rPr>
        <w:t>Ciljeve Strategije nemoguće je provesti bez izvora finansiranja zbog čega je važno povezati strateško i programsko planiranje. Strateški planovi službi za upravu i drugih gradskih  organa za razdoblje 2024.-2026.</w:t>
      </w:r>
      <w:r w:rsidR="00C25789">
        <w:rPr>
          <w:lang w:val="bs-Latn-BA" w:eastAsia="bs-Latn-BA"/>
        </w:rPr>
        <w:t xml:space="preserve"> godine</w:t>
      </w:r>
      <w:r w:rsidRPr="00CA441D">
        <w:rPr>
          <w:lang w:val="bs-Latn-BA" w:eastAsia="bs-Latn-BA"/>
        </w:rPr>
        <w:t>, odnosno Strategija u cijelosti će biti povezana s budžetom za isto razdoblje.</w:t>
      </w:r>
    </w:p>
    <w:p w:rsidR="00072598" w:rsidRPr="00CA441D" w:rsidRDefault="00072598" w:rsidP="00072598">
      <w:pPr>
        <w:autoSpaceDE w:val="0"/>
        <w:autoSpaceDN w:val="0"/>
        <w:adjustRightInd w:val="0"/>
        <w:ind w:firstLine="709"/>
        <w:jc w:val="both"/>
        <w:rPr>
          <w:lang w:val="bs-Latn-BA" w:eastAsia="bs-Latn-BA"/>
        </w:rPr>
      </w:pPr>
      <w:r w:rsidRPr="00CA441D">
        <w:rPr>
          <w:lang w:val="bs-Latn-BA" w:eastAsia="bs-Latn-BA"/>
        </w:rPr>
        <w:t>Smjernice ekonomske i fiskalne politike putem limita koji se dodjeljuju gradskim službama i drugim korisnicima budžeta predstavljaju sponu između strateških prioriteta i budžeta, te predstavljaju prvi korak u osiguranju alokacije budžetskih sredstava na one ciljeve kojima će se postići najveći učinak u prioritetnim područjima.</w:t>
      </w:r>
    </w:p>
    <w:p w:rsidR="00072598" w:rsidRPr="00CA441D" w:rsidRDefault="00072598" w:rsidP="00072598">
      <w:pPr>
        <w:autoSpaceDE w:val="0"/>
        <w:autoSpaceDN w:val="0"/>
        <w:adjustRightInd w:val="0"/>
        <w:ind w:firstLine="709"/>
        <w:jc w:val="both"/>
        <w:rPr>
          <w:lang w:val="bs-Latn-BA" w:eastAsia="bs-Latn-BA"/>
        </w:rPr>
      </w:pPr>
      <w:r w:rsidRPr="00CA441D">
        <w:rPr>
          <w:lang w:val="bs-Latn-BA" w:eastAsia="bs-Latn-BA"/>
        </w:rPr>
        <w:t>U skladu sa strateškim opredjeljenjima Grada Zavidovići ekonomska politika u srednjoročnom razdoblju bit će usmjerena i na osiguravanje optimalnog okruženja za razvoj konkurentne privrede na području Grada, a što, između ostalog podrazumijeva, podršku razvoju malog i srednjeg poduzetništva, poticanje razvoja poljoprivrede u ruralnim područjima grada, te značajniju podršku promociji turizma i razvoju turističke infrastrukutre. U funkciju razvoja potrebno je staviti i novostečeni status grada sa povoljnim poslovnim okruženjem, te iskoristiti sve pogodnosti koje BFC certifikat donosi općinama sa ovim statusom.</w:t>
      </w:r>
    </w:p>
    <w:p w:rsidR="00F62484" w:rsidRPr="00CA441D" w:rsidRDefault="00F62484" w:rsidP="00F62484">
      <w:pPr>
        <w:pStyle w:val="BodyTextIndent"/>
        <w:jc w:val="left"/>
        <w:rPr>
          <w:rFonts w:ascii="Times New Roman" w:hAnsi="Times New Roman" w:cs="Times New Roman"/>
        </w:rPr>
      </w:pPr>
    </w:p>
    <w:p w:rsidR="00F62484" w:rsidRPr="00CA441D" w:rsidRDefault="00F62484" w:rsidP="00F62484">
      <w:pPr>
        <w:pStyle w:val="BodyTextIndent"/>
        <w:jc w:val="left"/>
        <w:rPr>
          <w:rFonts w:ascii="Times New Roman" w:hAnsi="Times New Roman" w:cs="Times New Roman"/>
        </w:rPr>
      </w:pPr>
      <w:r w:rsidRPr="00CA441D">
        <w:rPr>
          <w:rFonts w:ascii="Times New Roman" w:hAnsi="Times New Roman" w:cs="Times New Roman"/>
        </w:rPr>
        <w:t xml:space="preserve">                                                                                   GRADONAČELNIK</w:t>
      </w:r>
    </w:p>
    <w:p w:rsidR="00F62484" w:rsidRPr="00CA441D" w:rsidRDefault="00F62484" w:rsidP="00F62484">
      <w:pPr>
        <w:pStyle w:val="BodyTextIndent"/>
        <w:jc w:val="left"/>
        <w:rPr>
          <w:rFonts w:ascii="Times New Roman" w:hAnsi="Times New Roman" w:cs="Times New Roman"/>
        </w:rPr>
      </w:pPr>
      <w:r w:rsidRPr="00CA441D">
        <w:rPr>
          <w:rFonts w:ascii="Times New Roman" w:hAnsi="Times New Roman" w:cs="Times New Roman"/>
        </w:rPr>
        <w:tab/>
        <w:t xml:space="preserve">                                                                                                                       </w:t>
      </w:r>
    </w:p>
    <w:p w:rsidR="00F62484" w:rsidRPr="00CA441D" w:rsidRDefault="00F62484" w:rsidP="00F62484">
      <w:pPr>
        <w:pStyle w:val="BodyTextIndent"/>
        <w:jc w:val="left"/>
        <w:rPr>
          <w:rFonts w:ascii="Times New Roman" w:hAnsi="Times New Roman" w:cs="Times New Roman"/>
        </w:rPr>
      </w:pPr>
      <w:r w:rsidRPr="00CA441D">
        <w:rPr>
          <w:rFonts w:ascii="Times New Roman" w:hAnsi="Times New Roman" w:cs="Times New Roman"/>
        </w:rPr>
        <w:t xml:space="preserve">                                                                               doc. dr.  Hašim Mujanović</w:t>
      </w:r>
    </w:p>
    <w:p w:rsidR="00F61A73" w:rsidRDefault="00F61A73" w:rsidP="004147EE">
      <w:pPr>
        <w:jc w:val="both"/>
        <w:rPr>
          <w:lang w:val="hr-BA"/>
        </w:rPr>
      </w:pPr>
    </w:p>
    <w:p w:rsidR="00F61A73" w:rsidRPr="00F61A73" w:rsidRDefault="00F61A73" w:rsidP="00F61A73">
      <w:pPr>
        <w:rPr>
          <w:lang w:val="hr-BA"/>
        </w:rPr>
      </w:pPr>
    </w:p>
    <w:p w:rsidR="00F61A73" w:rsidRDefault="004F5AC8" w:rsidP="00F61A73">
      <w:pPr>
        <w:rPr>
          <w:lang w:val="hr-BA"/>
        </w:rPr>
      </w:pPr>
      <w:r>
        <w:rPr>
          <w:lang w:val="hr-BA"/>
        </w:rPr>
        <w:t>Obradio: Amira Tadić</w:t>
      </w:r>
    </w:p>
    <w:p w:rsidR="004F5AC8" w:rsidRDefault="004F5AC8" w:rsidP="00F61A73">
      <w:pPr>
        <w:rPr>
          <w:lang w:val="hr-BA"/>
        </w:rPr>
      </w:pPr>
    </w:p>
    <w:p w:rsidR="004F5AC8" w:rsidRDefault="004F5AC8" w:rsidP="00F61A73">
      <w:pPr>
        <w:rPr>
          <w:lang w:val="hr-BA"/>
        </w:rPr>
      </w:pPr>
      <w:r>
        <w:rPr>
          <w:lang w:val="hr-BA"/>
        </w:rPr>
        <w:t>Kontrolisao: Midhat Bajramović</w:t>
      </w:r>
    </w:p>
    <w:p w:rsidR="00BF24B4" w:rsidRPr="00F61A73" w:rsidRDefault="00F61A73" w:rsidP="00F61A73">
      <w:pPr>
        <w:tabs>
          <w:tab w:val="left" w:pos="2610"/>
        </w:tabs>
        <w:rPr>
          <w:lang w:val="hr-BA"/>
        </w:rPr>
      </w:pPr>
      <w:r>
        <w:rPr>
          <w:lang w:val="hr-BA"/>
        </w:rPr>
        <w:tab/>
      </w:r>
    </w:p>
    <w:sectPr w:rsidR="00BF24B4" w:rsidRPr="00F61A73" w:rsidSect="004147EE">
      <w:headerReference w:type="default" r:id="rId21"/>
      <w:footerReference w:type="default" r:id="rId22"/>
      <w:pgSz w:w="12240" w:h="15840"/>
      <w:pgMar w:top="1134" w:right="2160" w:bottom="1239"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23" w:rsidRDefault="00662B23">
      <w:r>
        <w:separator/>
      </w:r>
    </w:p>
  </w:endnote>
  <w:endnote w:type="continuationSeparator" w:id="1">
    <w:p w:rsidR="00662B23" w:rsidRDefault="00662B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3721"/>
      <w:docPartObj>
        <w:docPartGallery w:val="Page Numbers (Bottom of Page)"/>
        <w:docPartUnique/>
      </w:docPartObj>
    </w:sdtPr>
    <w:sdtContent>
      <w:p w:rsidR="00B67F32" w:rsidRDefault="00B67F32">
        <w:pPr>
          <w:pStyle w:val="Footer"/>
          <w:jc w:val="right"/>
        </w:pPr>
        <w:r w:rsidRPr="00F36A82">
          <w:rPr>
            <w:noProof/>
            <w:lang w:val="hr-HR" w:eastAsia="hr-HR"/>
          </w:rPr>
          <w:drawing>
            <wp:anchor distT="0" distB="0" distL="114300" distR="114300" simplePos="0" relativeHeight="251659264" behindDoc="0" locked="0" layoutInCell="1" allowOverlap="1">
              <wp:simplePos x="0" y="0"/>
              <wp:positionH relativeFrom="page">
                <wp:posOffset>6315075</wp:posOffset>
              </wp:positionH>
              <wp:positionV relativeFrom="page">
                <wp:posOffset>9363075</wp:posOffset>
              </wp:positionV>
              <wp:extent cx="1009650" cy="428625"/>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428625"/>
                      </a:xfrm>
                      <a:prstGeom prst="rect">
                        <a:avLst/>
                      </a:prstGeom>
                      <a:noFill/>
                    </pic:spPr>
                  </pic:pic>
                </a:graphicData>
              </a:graphic>
            </wp:anchor>
          </w:drawing>
        </w:r>
        <w:fldSimple w:instr=" PAGE   \* MERGEFORMAT ">
          <w:r w:rsidR="00F906D2">
            <w:rPr>
              <w:noProof/>
            </w:rPr>
            <w:t>18</w:t>
          </w:r>
        </w:fldSimple>
      </w:p>
    </w:sdtContent>
  </w:sdt>
  <w:p w:rsidR="00B67F32" w:rsidRDefault="00F61A73" w:rsidP="00F61A73">
    <w:pPr>
      <w:pStyle w:val="Footer"/>
      <w:rPr>
        <w:sz w:val="16"/>
        <w:szCs w:val="16"/>
      </w:rPr>
    </w:pPr>
    <w:r>
      <w:rPr>
        <w:sz w:val="16"/>
        <w:szCs w:val="16"/>
      </w:rPr>
      <w:t xml:space="preserve">           </w:t>
    </w:r>
    <w:r w:rsidR="00B67F32">
      <w:rPr>
        <w:sz w:val="16"/>
        <w:szCs w:val="16"/>
      </w:rPr>
      <w:t>Grad Zavidovići, Ulica Safvet-bega Bašagića broj 9, 72220 Zavidovići</w:t>
    </w:r>
  </w:p>
  <w:p w:rsidR="00B67F32" w:rsidRDefault="00B67F32" w:rsidP="00F61A73">
    <w:pPr>
      <w:pStyle w:val="Footer"/>
      <w:rPr>
        <w:sz w:val="22"/>
      </w:rPr>
    </w:pPr>
    <w:r>
      <w:rPr>
        <w:sz w:val="16"/>
        <w:szCs w:val="16"/>
      </w:rPr>
      <w:t xml:space="preserve">Telefon:  032/206-780 info, fax: 032/206-706, </w:t>
    </w:r>
    <w:hyperlink r:id="rId2" w:history="1">
      <w:r>
        <w:rPr>
          <w:rStyle w:val="Hyperlink"/>
          <w:sz w:val="14"/>
          <w:szCs w:val="14"/>
        </w:rPr>
        <w:t>www.zavidovici.ba</w:t>
      </w:r>
    </w:hyperlink>
    <w:r>
      <w:rPr>
        <w:sz w:val="14"/>
        <w:szCs w:val="14"/>
      </w:rPr>
      <w:t>,</w:t>
    </w:r>
    <w:hyperlink r:id="rId3" w:history="1">
      <w:r>
        <w:rPr>
          <w:rStyle w:val="Hyperlink"/>
          <w:sz w:val="14"/>
          <w:szCs w:val="14"/>
        </w:rPr>
        <w:t>opcina.zavidovici@zavidovici.ba</w:t>
      </w:r>
    </w:hyperlink>
    <w:r>
      <w:rPr>
        <w:rStyle w:val="Hyperlink"/>
        <w:sz w:val="14"/>
        <w:szCs w:val="14"/>
      </w:rPr>
      <w:t>,</w:t>
    </w:r>
    <w:r>
      <w:rPr>
        <w:sz w:val="14"/>
        <w:szCs w:val="14"/>
      </w:rPr>
      <w:t xml:space="preserve"> </w:t>
    </w:r>
    <w:hyperlink r:id="rId4" w:history="1">
      <w:r>
        <w:rPr>
          <w:rStyle w:val="Hyperlink"/>
          <w:sz w:val="14"/>
          <w:szCs w:val="14"/>
        </w:rPr>
        <w:t>opzdici@bih.net.ba</w:t>
      </w:r>
    </w:hyperlink>
    <w:r>
      <w:rPr>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23" w:rsidRDefault="00662B23">
      <w:r>
        <w:separator/>
      </w:r>
    </w:p>
  </w:footnote>
  <w:footnote w:type="continuationSeparator" w:id="1">
    <w:p w:rsidR="00662B23" w:rsidRDefault="00662B23">
      <w:r>
        <w:continuationSeparator/>
      </w:r>
    </w:p>
  </w:footnote>
  <w:footnote w:id="2">
    <w:p w:rsidR="00B67F32" w:rsidRPr="00782856" w:rsidRDefault="00B67F32" w:rsidP="009E4100">
      <w:pPr>
        <w:pStyle w:val="FootnoteText"/>
        <w:rPr>
          <w:rFonts w:ascii="Arial" w:hAnsi="Arial" w:cs="Arial"/>
        </w:rPr>
      </w:pPr>
      <w:r w:rsidRPr="00782856">
        <w:rPr>
          <w:rStyle w:val="FootnoteReference"/>
          <w:rFonts w:cs="Calibri"/>
        </w:rPr>
        <w:footnoteRef/>
      </w:r>
      <w:r w:rsidRPr="00782856">
        <w:rPr>
          <w:rFonts w:ascii="Arial" w:hAnsi="Arial" w:cs="Arial"/>
        </w:rPr>
        <w:t>Cijene iskazane u eurima (kurs na dan 04.05.2023. 1 EUR =1,1043 USD)</w:t>
      </w:r>
    </w:p>
  </w:footnote>
  <w:footnote w:id="3">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Podaci o kretanju cijena preuzeti sa web stranice https://sdw.ecb.europa.eu/</w:t>
      </w:r>
    </w:p>
  </w:footnote>
  <w:footnote w:id="4">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BHAS: Bruto domaći proizvod, rashodni pristup, kvartalni podaci, od 30.03.2023. god. (prema lančano povezanim vrijednostima u cijenama 2015.)</w:t>
      </w:r>
    </w:p>
  </w:footnote>
  <w:footnote w:id="5">
    <w:p w:rsidR="00B67F32" w:rsidRPr="003952DF" w:rsidRDefault="00B67F32" w:rsidP="009E4100">
      <w:pPr>
        <w:pStyle w:val="FootnoteText"/>
        <w:rPr>
          <w:rFonts w:ascii="Arial" w:hAnsi="Arial" w:cs="Arial"/>
        </w:rPr>
      </w:pPr>
      <w:r w:rsidRPr="003952DF">
        <w:rPr>
          <w:rStyle w:val="FootnoteReference"/>
          <w:rFonts w:cs="Arial"/>
        </w:rPr>
        <w:footnoteRef/>
      </w:r>
      <w:r w:rsidRPr="003952DF">
        <w:rPr>
          <w:rFonts w:ascii="Arial" w:hAnsi="Arial" w:cs="Arial"/>
        </w:rPr>
        <w:t xml:space="preserve"> BHAS; Tematski bilten br.9.; Indeks potrošački cijena u BiH 2022. g.; Sarajevo 2023. g.</w:t>
      </w:r>
    </w:p>
  </w:footnote>
  <w:footnote w:id="6">
    <w:p w:rsidR="00B67F32" w:rsidRPr="00782856" w:rsidRDefault="00B67F32" w:rsidP="009E4100">
      <w:pPr>
        <w:pStyle w:val="FootnoteText"/>
        <w:rPr>
          <w:rFonts w:ascii="Arial" w:hAnsi="Arial" w:cs="Arial"/>
          <w:szCs w:val="18"/>
        </w:rPr>
      </w:pPr>
      <w:r w:rsidRPr="00782856">
        <w:rPr>
          <w:rStyle w:val="FootnoteReference"/>
          <w:rFonts w:cs="Arial"/>
          <w:szCs w:val="18"/>
        </w:rPr>
        <w:footnoteRef/>
      </w:r>
      <w:r w:rsidRPr="00782856">
        <w:rPr>
          <w:rFonts w:ascii="Arial" w:hAnsi="Arial" w:cs="Arial"/>
          <w:szCs w:val="18"/>
        </w:rPr>
        <w:t xml:space="preserve"> FZS; Tromjesečni BDP, IV tromjesečje 2022. g., Broj: 10.3.4.; Sarajevo, 31.03.2023. g.</w:t>
      </w:r>
    </w:p>
  </w:footnote>
  <w:footnote w:id="7">
    <w:p w:rsidR="00B67F32" w:rsidRPr="00782856" w:rsidRDefault="00B67F32" w:rsidP="009E4100">
      <w:pPr>
        <w:pStyle w:val="FootnoteText"/>
        <w:rPr>
          <w:rFonts w:ascii="Arial" w:hAnsi="Arial" w:cs="Arial"/>
          <w:szCs w:val="18"/>
        </w:rPr>
      </w:pPr>
      <w:r w:rsidRPr="00782856">
        <w:rPr>
          <w:rStyle w:val="FootnoteReference"/>
          <w:rFonts w:cs="Arial"/>
          <w:szCs w:val="18"/>
        </w:rPr>
        <w:footnoteRef/>
      </w:r>
      <w:r w:rsidRPr="00782856">
        <w:rPr>
          <w:rFonts w:ascii="Arial" w:hAnsi="Arial" w:cs="Arial"/>
          <w:szCs w:val="18"/>
        </w:rPr>
        <w:t xml:space="preserve"> FZS: Indeksi obima industrijske proizvodnje za 2022. g. ; Revidirani podaci; Br.:9; Objava 03.03.2022.</w:t>
      </w:r>
    </w:p>
  </w:footnote>
  <w:footnote w:id="8">
    <w:p w:rsidR="00B67F32" w:rsidRPr="00782856" w:rsidRDefault="00B67F32" w:rsidP="009E4100">
      <w:pPr>
        <w:pStyle w:val="FootnoteText"/>
        <w:rPr>
          <w:rFonts w:ascii="Arial" w:hAnsi="Arial" w:cs="Arial"/>
        </w:rPr>
      </w:pPr>
      <w:r w:rsidRPr="00782856">
        <w:rPr>
          <w:rStyle w:val="FootnoteReference"/>
        </w:rPr>
        <w:footnoteRef/>
      </w:r>
      <w:r w:rsidRPr="00782856">
        <w:rPr>
          <w:rFonts w:ascii="Arial" w:hAnsi="Arial" w:cs="Arial"/>
        </w:rPr>
        <w:t>FZS: Robana razmjena sa inozemstvom; broj: 16.1.12.; Objava 20.1.2023.</w:t>
      </w:r>
    </w:p>
  </w:footnote>
  <w:footnote w:id="9">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FZS: Indeksi potrošačkih cijena; Decembar 2023.: Broj: 7.1.12.; Sarajevo,Objava, 20.01.2023. g.</w:t>
      </w:r>
    </w:p>
  </w:footnote>
  <w:footnote w:id="10">
    <w:p w:rsidR="00B67F32" w:rsidRPr="0061458E" w:rsidRDefault="00B67F32" w:rsidP="009E4100">
      <w:pPr>
        <w:tabs>
          <w:tab w:val="left" w:pos="6521"/>
        </w:tabs>
        <w:rPr>
          <w:rFonts w:ascii="Arial" w:hAnsi="Arial" w:cs="Arial"/>
          <w:sz w:val="20"/>
          <w:szCs w:val="20"/>
        </w:rPr>
      </w:pPr>
      <w:r w:rsidRPr="0061458E">
        <w:rPr>
          <w:rStyle w:val="FootnoteReference"/>
          <w:rFonts w:cs="Arial"/>
          <w:sz w:val="20"/>
          <w:szCs w:val="20"/>
        </w:rPr>
        <w:footnoteRef/>
      </w:r>
      <w:r w:rsidRPr="0061458E">
        <w:rPr>
          <w:rFonts w:ascii="Arial" w:hAnsi="Arial" w:cs="Arial"/>
          <w:sz w:val="20"/>
          <w:szCs w:val="20"/>
        </w:rPr>
        <w:t xml:space="preserve">  COICOP – Classification of Individual Consumption by Purpose</w:t>
      </w:r>
    </w:p>
  </w:footnote>
  <w:footnote w:id="11">
    <w:p w:rsidR="00B67F32" w:rsidRPr="002E5CC6" w:rsidRDefault="00B67F32" w:rsidP="009E4100">
      <w:pPr>
        <w:pStyle w:val="FootnoteText"/>
        <w:rPr>
          <w:rFonts w:ascii="Arial" w:hAnsi="Arial" w:cs="Arial"/>
        </w:rPr>
      </w:pPr>
      <w:r w:rsidRPr="0061458E">
        <w:rPr>
          <w:rStyle w:val="FootnoteReference"/>
          <w:rFonts w:cs="Arial"/>
        </w:rPr>
        <w:footnoteRef/>
      </w:r>
      <w:r w:rsidRPr="0061458E">
        <w:rPr>
          <w:rFonts w:ascii="Arial" w:hAnsi="Arial" w:cs="Arial"/>
        </w:rPr>
        <w:t xml:space="preserve"> FZS: Zaposleni i nezaposleni; decembar 2022.: broj: 8.2.12.; Sarajevo, objava, 16.02.2023. g.</w:t>
      </w:r>
    </w:p>
  </w:footnote>
  <w:footnote w:id="12">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FZS; Prosječna mjesečna isplaćena neto i bruto plata zaposlenih po područjima KD 2010, decembar; Sarajevo, 16.02.2023; Broj: 8.01.12.</w:t>
      </w:r>
    </w:p>
  </w:footnote>
  <w:footnote w:id="13">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Regional Economic Prospects; February 2023.</w:t>
      </w:r>
    </w:p>
  </w:footnote>
  <w:footnote w:id="14">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World Bank Group; Europe and Central Asia, Economic Update; Spring 2023.</w:t>
      </w:r>
    </w:p>
  </w:footnote>
  <w:footnote w:id="15">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DOB; Makroekonomske projekcije 2024. – 2026 g.; mart 2023.</w:t>
      </w:r>
    </w:p>
  </w:footnote>
  <w:footnote w:id="16">
    <w:p w:rsidR="00B67F32" w:rsidRPr="00782856" w:rsidRDefault="00B67F32" w:rsidP="009E4100">
      <w:pPr>
        <w:pStyle w:val="FootnoteText"/>
        <w:rPr>
          <w:rFonts w:ascii="Arial" w:hAnsi="Arial" w:cs="Arial"/>
        </w:rPr>
      </w:pPr>
      <w:r w:rsidRPr="00782856">
        <w:rPr>
          <w:rStyle w:val="FootnoteReference"/>
          <w:rFonts w:cs="Arial"/>
        </w:rPr>
        <w:footnoteRef/>
      </w:r>
      <w:r w:rsidRPr="00782856">
        <w:rPr>
          <w:rFonts w:ascii="Arial" w:hAnsi="Arial" w:cs="Arial"/>
        </w:rPr>
        <w:t xml:space="preserve"> World Bank Group; Europe and Central Asia; April 2023</w:t>
      </w:r>
    </w:p>
  </w:footnote>
  <w:footnote w:id="17">
    <w:p w:rsidR="00B67F32" w:rsidRPr="00E17750" w:rsidRDefault="00B67F32" w:rsidP="009E4100">
      <w:pPr>
        <w:pStyle w:val="FootnoteText"/>
        <w:rPr>
          <w:rFonts w:ascii="Arial" w:hAnsi="Arial" w:cs="Arial"/>
        </w:rPr>
      </w:pPr>
      <w:r w:rsidRPr="00E17750">
        <w:rPr>
          <w:rStyle w:val="FootnoteReference"/>
          <w:rFonts w:cs="Arial"/>
        </w:rPr>
        <w:footnoteRef/>
      </w:r>
      <w:r w:rsidRPr="00E17750">
        <w:rPr>
          <w:rFonts w:ascii="Arial" w:hAnsi="Arial" w:cs="Arial"/>
        </w:rPr>
        <w:t xml:space="preserve"> Podrazumijeva aktivnosti prema smanjenju emisija CO2</w:t>
      </w:r>
      <w:r>
        <w:rPr>
          <w:rFonts w:ascii="Arial" w:hAnsi="Arial" w:cs="Arial"/>
        </w:rPr>
        <w:t>, primarno kroz energetsku učinkovitost i obnovljive izvore energije.</w:t>
      </w:r>
    </w:p>
  </w:footnote>
  <w:footnote w:id="18">
    <w:p w:rsidR="00B67F32" w:rsidRPr="004D609B" w:rsidRDefault="00B67F32" w:rsidP="009E4100">
      <w:pPr>
        <w:pStyle w:val="Default"/>
        <w:jc w:val="both"/>
        <w:rPr>
          <w:sz w:val="16"/>
          <w:szCs w:val="16"/>
        </w:rPr>
      </w:pPr>
      <w:r w:rsidRPr="004D609B">
        <w:rPr>
          <w:rStyle w:val="FootnoteReference"/>
          <w:rFonts w:ascii="Times New Roman" w:hAnsi="Times New Roman" w:cs="Times New Roman"/>
          <w:sz w:val="16"/>
          <w:szCs w:val="16"/>
        </w:rPr>
        <w:footnoteRef/>
      </w:r>
      <w:r w:rsidRPr="004D609B">
        <w:rPr>
          <w:rFonts w:ascii="Times New Roman" w:hAnsi="Times New Roman" w:cs="Times New Roman"/>
          <w:sz w:val="16"/>
          <w:szCs w:val="16"/>
        </w:rPr>
        <w:t>Raspodjela prihoda za kantone i općine/gradove pojedinačno urađena je u skladu sa metodologijom propisanom Zakonom o pripadnosti javnih prihoda u Federaciji BiH ("Službene novine Federacije BiH", br. 22/06, 43/08, 22/09, 35/14</w:t>
      </w:r>
      <w:r>
        <w:rPr>
          <w:rFonts w:ascii="Times New Roman" w:hAnsi="Times New Roman" w:cs="Times New Roman"/>
          <w:sz w:val="16"/>
          <w:szCs w:val="16"/>
        </w:rPr>
        <w:t xml:space="preserve">, </w:t>
      </w:r>
      <w:r w:rsidRPr="004D609B">
        <w:rPr>
          <w:rFonts w:ascii="Times New Roman" w:hAnsi="Times New Roman" w:cs="Times New Roman"/>
          <w:sz w:val="16"/>
          <w:szCs w:val="16"/>
        </w:rPr>
        <w:t>94/15</w:t>
      </w:r>
      <w:r>
        <w:rPr>
          <w:rFonts w:ascii="Times New Roman" w:hAnsi="Times New Roman" w:cs="Times New Roman"/>
          <w:sz w:val="16"/>
          <w:szCs w:val="16"/>
        </w:rPr>
        <w:t xml:space="preserve"> i 17/22</w:t>
      </w:r>
      <w:r w:rsidRPr="004D609B">
        <w:rPr>
          <w:rFonts w:ascii="Times New Roman" w:hAnsi="Times New Roman" w:cs="Times New Roman"/>
          <w:sz w:val="16"/>
          <w:szCs w:val="16"/>
        </w:rPr>
        <w:t>). Alokacija pojedinačnih iznosa svakog korisnika za 202</w:t>
      </w:r>
      <w:r>
        <w:rPr>
          <w:rFonts w:ascii="Times New Roman" w:hAnsi="Times New Roman" w:cs="Times New Roman"/>
          <w:sz w:val="16"/>
          <w:szCs w:val="16"/>
        </w:rPr>
        <w:t>3</w:t>
      </w:r>
      <w:r w:rsidRPr="004D609B">
        <w:rPr>
          <w:rFonts w:ascii="Times New Roman" w:hAnsi="Times New Roman" w:cs="Times New Roman"/>
          <w:sz w:val="16"/>
          <w:szCs w:val="16"/>
        </w:rPr>
        <w:t>. godinu i period 202</w:t>
      </w:r>
      <w:r>
        <w:rPr>
          <w:rFonts w:ascii="Times New Roman" w:hAnsi="Times New Roman" w:cs="Times New Roman"/>
          <w:sz w:val="16"/>
          <w:szCs w:val="16"/>
        </w:rPr>
        <w:t>4</w:t>
      </w:r>
      <w:r w:rsidRPr="004D609B">
        <w:rPr>
          <w:rFonts w:ascii="Times New Roman" w:hAnsi="Times New Roman" w:cs="Times New Roman"/>
          <w:sz w:val="16"/>
          <w:szCs w:val="16"/>
        </w:rPr>
        <w:t>-202</w:t>
      </w:r>
      <w:r>
        <w:rPr>
          <w:rFonts w:ascii="Times New Roman" w:hAnsi="Times New Roman" w:cs="Times New Roman"/>
          <w:sz w:val="16"/>
          <w:szCs w:val="16"/>
        </w:rPr>
        <w:t>6</w:t>
      </w:r>
      <w:r w:rsidRPr="004D609B">
        <w:rPr>
          <w:rFonts w:ascii="Times New Roman" w:hAnsi="Times New Roman" w:cs="Times New Roman"/>
          <w:sz w:val="16"/>
          <w:szCs w:val="16"/>
        </w:rPr>
        <w:t>. godina izvršena je u skladu sa koeficijentima raspodjele iz Uputstva o određivanju učešća kantona, jedinica lokalne samouprave i nadležnih kantonalnih ustanova za ceste u prihodima od indirektnih poreza i načinu raspoređivanja tih prihoda za 202</w:t>
      </w:r>
      <w:r>
        <w:rPr>
          <w:rFonts w:ascii="Times New Roman" w:hAnsi="Times New Roman" w:cs="Times New Roman"/>
          <w:sz w:val="16"/>
          <w:szCs w:val="16"/>
        </w:rPr>
        <w:t>3</w:t>
      </w:r>
      <w:r w:rsidRPr="004D609B">
        <w:rPr>
          <w:rFonts w:ascii="Times New Roman" w:hAnsi="Times New Roman" w:cs="Times New Roman"/>
          <w:sz w:val="16"/>
          <w:szCs w:val="16"/>
        </w:rPr>
        <w:t xml:space="preserve">. godinu („Službene novine Federacije BiH”, broj: </w:t>
      </w:r>
      <w:r>
        <w:rPr>
          <w:rFonts w:ascii="Times New Roman" w:hAnsi="Times New Roman" w:cs="Times New Roman"/>
          <w:sz w:val="16"/>
          <w:szCs w:val="16"/>
        </w:rPr>
        <w:t>99</w:t>
      </w:r>
      <w:r w:rsidRPr="004D609B">
        <w:rPr>
          <w:rFonts w:ascii="Times New Roman" w:hAnsi="Times New Roman" w:cs="Times New Roman"/>
          <w:sz w:val="16"/>
          <w:szCs w:val="16"/>
        </w:rPr>
        <w:t>/2</w:t>
      </w:r>
      <w:r>
        <w:rPr>
          <w:rFonts w:ascii="Times New Roman" w:hAnsi="Times New Roman" w:cs="Times New Roman"/>
          <w:sz w:val="16"/>
          <w:szCs w:val="16"/>
        </w:rPr>
        <w:t>2</w:t>
      </w:r>
      <w:r w:rsidRPr="004D609B">
        <w:rPr>
          <w:rFonts w:ascii="Times New Roman" w:hAnsi="Times New Roman" w:cs="Times New Roman"/>
          <w:sz w:val="16"/>
          <w:szCs w:val="16"/>
        </w:rPr>
        <w:t>).</w:t>
      </w:r>
    </w:p>
    <w:p w:rsidR="00B67F32" w:rsidRPr="008148A2" w:rsidRDefault="00B67F32" w:rsidP="009E4100">
      <w:pPr>
        <w:pStyle w:val="FootnoteText"/>
        <w:tabs>
          <w:tab w:val="left" w:pos="142"/>
          <w:tab w:val="left" w:pos="709"/>
        </w:tabs>
        <w:rPr>
          <w:rFonts w:cs="Arial"/>
          <w:sz w:val="16"/>
          <w:szCs w:val="16"/>
          <w:lang w:val="hr-BA"/>
        </w:rPr>
      </w:pPr>
    </w:p>
  </w:footnote>
  <w:footnote w:id="19">
    <w:p w:rsidR="00B67F32" w:rsidRPr="00A460B6" w:rsidRDefault="00B67F32" w:rsidP="009E4100">
      <w:pPr>
        <w:pStyle w:val="FootnoteText"/>
        <w:tabs>
          <w:tab w:val="left" w:pos="0"/>
        </w:tabs>
        <w:rPr>
          <w:rFonts w:cs="Arial"/>
          <w:sz w:val="17"/>
          <w:szCs w:val="17"/>
          <w:lang w:val="hr-BA"/>
        </w:rPr>
      </w:pPr>
      <w:r w:rsidRPr="00A460B6">
        <w:rPr>
          <w:rStyle w:val="FootnoteReference"/>
          <w:rFonts w:cs="Arial"/>
          <w:sz w:val="17"/>
          <w:szCs w:val="17"/>
        </w:rPr>
        <w:footnoteRef/>
      </w:r>
      <w:r w:rsidRPr="00A460B6">
        <w:rPr>
          <w:rFonts w:cs="Arial"/>
          <w:sz w:val="17"/>
          <w:szCs w:val="17"/>
        </w:rPr>
        <w:t xml:space="preserve"> </w:t>
      </w:r>
      <w:r w:rsidRPr="0067332A">
        <w:rPr>
          <w:rFonts w:cs="Arial"/>
          <w:sz w:val="16"/>
          <w:szCs w:val="16"/>
        </w:rPr>
        <w:t>Projicirani iznosi za budžete jedinica lokalne samouprave iskazani na osnovu minimalnog udjela, propisanog Zakonom o pripadnosti javnih prihoda u Federaciji Bosne i Hercegovine ("Službene novine Federacije BiH", broj: 22/06, 43/08, 22/09, 35/14</w:t>
      </w:r>
      <w:r>
        <w:rPr>
          <w:rFonts w:cs="Arial"/>
          <w:sz w:val="16"/>
          <w:szCs w:val="16"/>
        </w:rPr>
        <w:t xml:space="preserve">, </w:t>
      </w:r>
      <w:r w:rsidRPr="0067332A">
        <w:rPr>
          <w:rFonts w:cs="Arial"/>
          <w:sz w:val="16"/>
          <w:szCs w:val="16"/>
        </w:rPr>
        <w:t>94/15</w:t>
      </w:r>
      <w:r>
        <w:rPr>
          <w:rFonts w:cs="Arial"/>
          <w:sz w:val="16"/>
          <w:szCs w:val="16"/>
        </w:rPr>
        <w:t xml:space="preserve"> i 17/22</w:t>
      </w:r>
      <w:r w:rsidRPr="0067332A">
        <w:rPr>
          <w:rFonts w:cs="Arial"/>
          <w:sz w:val="16"/>
          <w:szCs w:val="16"/>
        </w:rPr>
        <w:t>). Kanton u skladu sa svojim propisima može vršiti raspodjelu većeg iznosa.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32" w:rsidRPr="004147EE" w:rsidRDefault="00B67F32" w:rsidP="005E11DC">
    <w:pPr>
      <w:pStyle w:val="Header"/>
      <w:jc w:val="center"/>
      <w:rPr>
        <w:i/>
        <w:lang w:val="bs-Latn-BA"/>
      </w:rPr>
    </w:pPr>
    <w:r w:rsidRPr="004147EE">
      <w:rPr>
        <w:i/>
        <w:lang w:val="bs-Latn-BA"/>
      </w:rPr>
      <w:t xml:space="preserve">Dokument okvirnog budžeta </w:t>
    </w:r>
    <w:r>
      <w:rPr>
        <w:i/>
        <w:lang w:val="bs-Latn-BA"/>
      </w:rPr>
      <w:t>Grada</w:t>
    </w:r>
    <w:r w:rsidRPr="004147EE">
      <w:rPr>
        <w:i/>
        <w:lang w:val="bs-Latn-BA"/>
      </w:rPr>
      <w:t xml:space="preserve"> Zavidovići za period 202</w:t>
    </w:r>
    <w:r>
      <w:rPr>
        <w:i/>
        <w:lang w:val="bs-Latn-BA"/>
      </w:rPr>
      <w:t>4</w:t>
    </w:r>
    <w:r w:rsidRPr="004147EE">
      <w:rPr>
        <w:i/>
        <w:lang w:val="bs-Latn-BA"/>
      </w:rPr>
      <w:t>.-202</w:t>
    </w:r>
    <w:r>
      <w:rPr>
        <w:i/>
        <w:lang w:val="bs-Latn-BA"/>
      </w:rPr>
      <w:t>6</w:t>
    </w:r>
    <w:r w:rsidRPr="004147EE">
      <w:rPr>
        <w:i/>
        <w:lang w:val="bs-Latn-BA"/>
      </w:rPr>
      <w:t>.</w:t>
    </w:r>
    <w:r>
      <w:rPr>
        <w:i/>
        <w:lang w:val="bs-Latn-BA"/>
      </w:rPr>
      <w:t xml:space="preserve"> </w:t>
    </w:r>
    <w:r w:rsidRPr="004147EE">
      <w:rPr>
        <w:i/>
        <w:lang w:val="bs-Latn-BA"/>
      </w:rPr>
      <w:t>godina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23E44B6"/>
    <w:multiLevelType w:val="hybridMultilevel"/>
    <w:tmpl w:val="0012EC90"/>
    <w:lvl w:ilvl="0" w:tplc="ABC2CA3C">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2ED6F32"/>
    <w:multiLevelType w:val="hybridMultilevel"/>
    <w:tmpl w:val="473E853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92C16FC"/>
    <w:multiLevelType w:val="multilevel"/>
    <w:tmpl w:val="1334FD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0229B"/>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DB75018"/>
    <w:multiLevelType w:val="multilevel"/>
    <w:tmpl w:val="DCC04DEE"/>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19"/>
        <w:szCs w:val="19"/>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A4B68"/>
    <w:multiLevelType w:val="hybridMultilevel"/>
    <w:tmpl w:val="240409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07D33DC"/>
    <w:multiLevelType w:val="hybridMultilevel"/>
    <w:tmpl w:val="8BE0A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047D77"/>
    <w:multiLevelType w:val="hybridMultilevel"/>
    <w:tmpl w:val="013A60DE"/>
    <w:lvl w:ilvl="0" w:tplc="84AC5B02">
      <w:start w:val="1"/>
      <w:numFmt w:val="bullet"/>
      <w:lvlText w:val="-"/>
      <w:lvlJc w:val="left"/>
      <w:pPr>
        <w:tabs>
          <w:tab w:val="num" w:pos="720"/>
        </w:tabs>
        <w:ind w:left="720" w:hanging="360"/>
      </w:pPr>
      <w:rPr>
        <w:rFonts w:ascii="Arial" w:eastAsia="Times New Roman" w:hAnsi="Arial" w:cs="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2CE0BE6"/>
    <w:multiLevelType w:val="multilevel"/>
    <w:tmpl w:val="6138FA14"/>
    <w:lvl w:ilvl="0">
      <w:start w:val="2"/>
      <w:numFmt w:val="decimal"/>
      <w:lvlText w:val="3.1.%1."/>
      <w:lvlJc w:val="left"/>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hr-HR"/>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9A1008"/>
    <w:multiLevelType w:val="hybridMultilevel"/>
    <w:tmpl w:val="8BE0A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650CB9"/>
    <w:multiLevelType w:val="multilevel"/>
    <w:tmpl w:val="8FD0B0A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67361F"/>
    <w:multiLevelType w:val="multilevel"/>
    <w:tmpl w:val="0B2CEFBE"/>
    <w:lvl w:ilvl="0">
      <w:start w:val="1"/>
      <w:numFmt w:val="bullet"/>
      <w:lvlText w:val="•"/>
      <w:lvlJc w:val="left"/>
      <w:rPr>
        <w:rFonts w:ascii="Calibri" w:eastAsia="Calibri" w:hAnsi="Calibri" w:cs="Calibri"/>
        <w:b w:val="0"/>
        <w:bCs w:val="0"/>
        <w:i/>
        <w:iCs/>
        <w:smallCaps w:val="0"/>
        <w:strike w:val="0"/>
        <w:color w:val="000000"/>
        <w:spacing w:val="0"/>
        <w:w w:val="100"/>
        <w:position w:val="0"/>
        <w:sz w:val="20"/>
        <w:szCs w:val="20"/>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5E3ED8"/>
    <w:multiLevelType w:val="multilevel"/>
    <w:tmpl w:val="64FA4C00"/>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A61947"/>
    <w:multiLevelType w:val="hybridMultilevel"/>
    <w:tmpl w:val="ED406184"/>
    <w:lvl w:ilvl="0" w:tplc="AF86174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B7D04BC"/>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6">
    <w:nsid w:val="2BD078C6"/>
    <w:multiLevelType w:val="multilevel"/>
    <w:tmpl w:val="2B84AE66"/>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19"/>
        <w:szCs w:val="19"/>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5D0C28"/>
    <w:multiLevelType w:val="hybridMultilevel"/>
    <w:tmpl w:val="1A8A956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2E10467B"/>
    <w:multiLevelType w:val="multilevel"/>
    <w:tmpl w:val="BB36A5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20">
    <w:nsid w:val="3E54556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1">
    <w:nsid w:val="3EDC36CF"/>
    <w:multiLevelType w:val="hybridMultilevel"/>
    <w:tmpl w:val="A952378A"/>
    <w:lvl w:ilvl="0" w:tplc="ABC2CA3C">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2FC7020"/>
    <w:multiLevelType w:val="hybridMultilevel"/>
    <w:tmpl w:val="8BE0A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0E412B"/>
    <w:multiLevelType w:val="multilevel"/>
    <w:tmpl w:val="C2CCB906"/>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F65718"/>
    <w:multiLevelType w:val="multilevel"/>
    <w:tmpl w:val="E19A5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853FD"/>
    <w:multiLevelType w:val="multilevel"/>
    <w:tmpl w:val="D12C319E"/>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6">
    <w:nsid w:val="55E15145"/>
    <w:multiLevelType w:val="multilevel"/>
    <w:tmpl w:val="3722875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7F7E19"/>
    <w:multiLevelType w:val="multilevel"/>
    <w:tmpl w:val="C50C0898"/>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8">
    <w:nsid w:val="608064FD"/>
    <w:multiLevelType w:val="multilevel"/>
    <w:tmpl w:val="F4D407AE"/>
    <w:lvl w:ilvl="0">
      <w:start w:val="1"/>
      <w:numFmt w:val="bullet"/>
      <w:lvlText w:val=""/>
      <w:lvlJc w:val="left"/>
      <w:pPr>
        <w:tabs>
          <w:tab w:val="num" w:pos="360"/>
        </w:tabs>
        <w:ind w:left="360" w:hanging="360"/>
      </w:pPr>
      <w:rPr>
        <w:rFonts w:ascii="Symbol" w:hAnsi="Symbol" w:hint="default"/>
        <w:b w:val="0"/>
        <w:bCs w:val="0"/>
        <w:i w:val="0"/>
        <w:iCs w:val="0"/>
        <w:smallCaps w:val="0"/>
        <w:strike w:val="0"/>
        <w:color w:val="auto"/>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9">
    <w:nsid w:val="60EE4C3B"/>
    <w:multiLevelType w:val="hybridMultilevel"/>
    <w:tmpl w:val="4B90394A"/>
    <w:lvl w:ilvl="0" w:tplc="A190BC0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99435F"/>
    <w:multiLevelType w:val="hybridMultilevel"/>
    <w:tmpl w:val="8E8AE7B0"/>
    <w:lvl w:ilvl="0" w:tplc="ABC2CA3C">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66F51BFA"/>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2">
    <w:nsid w:val="67BF4F11"/>
    <w:multiLevelType w:val="hybridMultilevel"/>
    <w:tmpl w:val="EF9CE482"/>
    <w:lvl w:ilvl="0" w:tplc="A896378A">
      <w:start w:val="1"/>
      <w:numFmt w:val="bullet"/>
      <w:lvlText w:val=""/>
      <w:lvlJc w:val="left"/>
      <w:pPr>
        <w:tabs>
          <w:tab w:val="num" w:pos="720"/>
        </w:tabs>
        <w:ind w:left="720" w:hanging="360"/>
      </w:pPr>
      <w:rPr>
        <w:rFonts w:ascii="Wingdings" w:hAnsi="Wingding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AB56258"/>
    <w:multiLevelType w:val="hybridMultilevel"/>
    <w:tmpl w:val="05FAC6C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71227FAB"/>
    <w:multiLevelType w:val="multilevel"/>
    <w:tmpl w:val="24D2E268"/>
    <w:lvl w:ilvl="0">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813298"/>
    <w:multiLevelType w:val="hybridMultilevel"/>
    <w:tmpl w:val="24925E64"/>
    <w:lvl w:ilvl="0" w:tplc="04ACB5C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7A241C4"/>
    <w:multiLevelType w:val="multilevel"/>
    <w:tmpl w:val="1CDEC1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177F73"/>
    <w:multiLevelType w:val="hybridMultilevel"/>
    <w:tmpl w:val="6FD4ABE8"/>
    <w:lvl w:ilvl="0" w:tplc="ABC2CA3C">
      <w:start w:val="1"/>
      <w:numFmt w:val="bullet"/>
      <w:lvlText w:val=""/>
      <w:lvlJc w:val="left"/>
      <w:pPr>
        <w:tabs>
          <w:tab w:val="num" w:pos="1100"/>
        </w:tabs>
        <w:ind w:left="1100" w:hanging="360"/>
      </w:pPr>
      <w:rPr>
        <w:rFonts w:ascii="Symbol" w:hAnsi="Symbol" w:hint="default"/>
      </w:rPr>
    </w:lvl>
    <w:lvl w:ilvl="1" w:tplc="041A0003" w:tentative="1">
      <w:start w:val="1"/>
      <w:numFmt w:val="bullet"/>
      <w:lvlText w:val="o"/>
      <w:lvlJc w:val="left"/>
      <w:pPr>
        <w:tabs>
          <w:tab w:val="num" w:pos="1460"/>
        </w:tabs>
        <w:ind w:left="1460" w:hanging="360"/>
      </w:pPr>
      <w:rPr>
        <w:rFonts w:ascii="Courier New" w:hAnsi="Courier New" w:cs="Courier New" w:hint="default"/>
      </w:rPr>
    </w:lvl>
    <w:lvl w:ilvl="2" w:tplc="041A0005" w:tentative="1">
      <w:start w:val="1"/>
      <w:numFmt w:val="bullet"/>
      <w:lvlText w:val=""/>
      <w:lvlJc w:val="left"/>
      <w:pPr>
        <w:tabs>
          <w:tab w:val="num" w:pos="2180"/>
        </w:tabs>
        <w:ind w:left="2180" w:hanging="360"/>
      </w:pPr>
      <w:rPr>
        <w:rFonts w:ascii="Wingdings" w:hAnsi="Wingdings" w:hint="default"/>
      </w:rPr>
    </w:lvl>
    <w:lvl w:ilvl="3" w:tplc="041A0001" w:tentative="1">
      <w:start w:val="1"/>
      <w:numFmt w:val="bullet"/>
      <w:lvlText w:val=""/>
      <w:lvlJc w:val="left"/>
      <w:pPr>
        <w:tabs>
          <w:tab w:val="num" w:pos="2900"/>
        </w:tabs>
        <w:ind w:left="2900" w:hanging="360"/>
      </w:pPr>
      <w:rPr>
        <w:rFonts w:ascii="Symbol" w:hAnsi="Symbol" w:hint="default"/>
      </w:rPr>
    </w:lvl>
    <w:lvl w:ilvl="4" w:tplc="041A0003" w:tentative="1">
      <w:start w:val="1"/>
      <w:numFmt w:val="bullet"/>
      <w:lvlText w:val="o"/>
      <w:lvlJc w:val="left"/>
      <w:pPr>
        <w:tabs>
          <w:tab w:val="num" w:pos="3620"/>
        </w:tabs>
        <w:ind w:left="3620" w:hanging="360"/>
      </w:pPr>
      <w:rPr>
        <w:rFonts w:ascii="Courier New" w:hAnsi="Courier New" w:cs="Courier New" w:hint="default"/>
      </w:rPr>
    </w:lvl>
    <w:lvl w:ilvl="5" w:tplc="041A0005" w:tentative="1">
      <w:start w:val="1"/>
      <w:numFmt w:val="bullet"/>
      <w:lvlText w:val=""/>
      <w:lvlJc w:val="left"/>
      <w:pPr>
        <w:tabs>
          <w:tab w:val="num" w:pos="4340"/>
        </w:tabs>
        <w:ind w:left="4340" w:hanging="360"/>
      </w:pPr>
      <w:rPr>
        <w:rFonts w:ascii="Wingdings" w:hAnsi="Wingdings" w:hint="default"/>
      </w:rPr>
    </w:lvl>
    <w:lvl w:ilvl="6" w:tplc="041A0001" w:tentative="1">
      <w:start w:val="1"/>
      <w:numFmt w:val="bullet"/>
      <w:lvlText w:val=""/>
      <w:lvlJc w:val="left"/>
      <w:pPr>
        <w:tabs>
          <w:tab w:val="num" w:pos="5060"/>
        </w:tabs>
        <w:ind w:left="5060" w:hanging="360"/>
      </w:pPr>
      <w:rPr>
        <w:rFonts w:ascii="Symbol" w:hAnsi="Symbol" w:hint="default"/>
      </w:rPr>
    </w:lvl>
    <w:lvl w:ilvl="7" w:tplc="041A0003" w:tentative="1">
      <w:start w:val="1"/>
      <w:numFmt w:val="bullet"/>
      <w:lvlText w:val="o"/>
      <w:lvlJc w:val="left"/>
      <w:pPr>
        <w:tabs>
          <w:tab w:val="num" w:pos="5780"/>
        </w:tabs>
        <w:ind w:left="5780" w:hanging="360"/>
      </w:pPr>
      <w:rPr>
        <w:rFonts w:ascii="Courier New" w:hAnsi="Courier New" w:cs="Courier New" w:hint="default"/>
      </w:rPr>
    </w:lvl>
    <w:lvl w:ilvl="8" w:tplc="041A0005" w:tentative="1">
      <w:start w:val="1"/>
      <w:numFmt w:val="bullet"/>
      <w:lvlText w:val=""/>
      <w:lvlJc w:val="left"/>
      <w:pPr>
        <w:tabs>
          <w:tab w:val="num" w:pos="6500"/>
        </w:tabs>
        <w:ind w:left="6500" w:hanging="360"/>
      </w:pPr>
      <w:rPr>
        <w:rFonts w:ascii="Wingdings" w:hAnsi="Wingdings" w:hint="default"/>
      </w:rPr>
    </w:lvl>
  </w:abstractNum>
  <w:num w:numId="1">
    <w:abstractNumId w:val="19"/>
  </w:num>
  <w:num w:numId="2">
    <w:abstractNumId w:val="29"/>
  </w:num>
  <w:num w:numId="3">
    <w:abstractNumId w:val="17"/>
  </w:num>
  <w:num w:numId="4">
    <w:abstractNumId w:val="14"/>
  </w:num>
  <w:num w:numId="5">
    <w:abstractNumId w:val="32"/>
  </w:num>
  <w:num w:numId="6">
    <w:abstractNumId w:val="6"/>
  </w:num>
  <w:num w:numId="7">
    <w:abstractNumId w:val="0"/>
  </w:num>
  <w:num w:numId="8">
    <w:abstractNumId w:val="15"/>
  </w:num>
  <w:num w:numId="9">
    <w:abstractNumId w:val="28"/>
  </w:num>
  <w:num w:numId="10">
    <w:abstractNumId w:val="31"/>
  </w:num>
  <w:num w:numId="11">
    <w:abstractNumId w:val="1"/>
  </w:num>
  <w:num w:numId="12">
    <w:abstractNumId w:val="4"/>
  </w:num>
  <w:num w:numId="13">
    <w:abstractNumId w:val="27"/>
  </w:num>
  <w:num w:numId="14">
    <w:abstractNumId w:val="20"/>
  </w:num>
  <w:num w:numId="15">
    <w:abstractNumId w:val="25"/>
  </w:num>
  <w:num w:numId="16">
    <w:abstractNumId w:val="30"/>
  </w:num>
  <w:num w:numId="17">
    <w:abstractNumId w:val="37"/>
  </w:num>
  <w:num w:numId="18">
    <w:abstractNumId w:val="21"/>
  </w:num>
  <w:num w:numId="19">
    <w:abstractNumId w:val="12"/>
  </w:num>
  <w:num w:numId="20">
    <w:abstractNumId w:val="23"/>
  </w:num>
  <w:num w:numId="21">
    <w:abstractNumId w:val="26"/>
  </w:num>
  <w:num w:numId="22">
    <w:abstractNumId w:val="16"/>
  </w:num>
  <w:num w:numId="23">
    <w:abstractNumId w:val="3"/>
  </w:num>
  <w:num w:numId="24">
    <w:abstractNumId w:val="5"/>
  </w:num>
  <w:num w:numId="25">
    <w:abstractNumId w:val="9"/>
  </w:num>
  <w:num w:numId="26">
    <w:abstractNumId w:val="2"/>
  </w:num>
  <w:num w:numId="27">
    <w:abstractNumId w:val="8"/>
  </w:num>
  <w:num w:numId="28">
    <w:abstractNumId w:val="13"/>
  </w:num>
  <w:num w:numId="29">
    <w:abstractNumId w:val="34"/>
  </w:num>
  <w:num w:numId="30">
    <w:abstractNumId w:val="24"/>
  </w:num>
  <w:num w:numId="31">
    <w:abstractNumId w:val="18"/>
  </w:num>
  <w:num w:numId="32">
    <w:abstractNumId w:val="11"/>
  </w:num>
  <w:num w:numId="33">
    <w:abstractNumId w:val="36"/>
  </w:num>
  <w:num w:numId="34">
    <w:abstractNumId w:val="35"/>
  </w:num>
  <w:num w:numId="35">
    <w:abstractNumId w:val="33"/>
  </w:num>
  <w:num w:numId="36">
    <w:abstractNumId w:val="22"/>
  </w:num>
  <w:num w:numId="37">
    <w:abstractNumId w:val="7"/>
  </w:num>
  <w:num w:numId="3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86018"/>
  </w:hdrShapeDefaults>
  <w:footnotePr>
    <w:footnote w:id="0"/>
    <w:footnote w:id="1"/>
  </w:footnotePr>
  <w:endnotePr>
    <w:endnote w:id="0"/>
    <w:endnote w:id="1"/>
  </w:endnotePr>
  <w:compat/>
  <w:rsids>
    <w:rsidRoot w:val="00BD7988"/>
    <w:rsid w:val="00003C56"/>
    <w:rsid w:val="0001041D"/>
    <w:rsid w:val="00010AE7"/>
    <w:rsid w:val="000113FA"/>
    <w:rsid w:val="000161BE"/>
    <w:rsid w:val="0001718D"/>
    <w:rsid w:val="00017485"/>
    <w:rsid w:val="00017983"/>
    <w:rsid w:val="00023564"/>
    <w:rsid w:val="000235AA"/>
    <w:rsid w:val="0002585C"/>
    <w:rsid w:val="00025CF0"/>
    <w:rsid w:val="00026AA1"/>
    <w:rsid w:val="00030A61"/>
    <w:rsid w:val="000316A3"/>
    <w:rsid w:val="000337F4"/>
    <w:rsid w:val="0003577E"/>
    <w:rsid w:val="00037843"/>
    <w:rsid w:val="00041EEF"/>
    <w:rsid w:val="000428F6"/>
    <w:rsid w:val="00044036"/>
    <w:rsid w:val="00044264"/>
    <w:rsid w:val="0004592C"/>
    <w:rsid w:val="00046D32"/>
    <w:rsid w:val="00046D8B"/>
    <w:rsid w:val="00046E1F"/>
    <w:rsid w:val="00050039"/>
    <w:rsid w:val="00050BC4"/>
    <w:rsid w:val="00052452"/>
    <w:rsid w:val="00053F3A"/>
    <w:rsid w:val="00055689"/>
    <w:rsid w:val="00057151"/>
    <w:rsid w:val="00061F6F"/>
    <w:rsid w:val="00062AEA"/>
    <w:rsid w:val="00063EED"/>
    <w:rsid w:val="00063F1D"/>
    <w:rsid w:val="00067508"/>
    <w:rsid w:val="00070BE3"/>
    <w:rsid w:val="00070C44"/>
    <w:rsid w:val="00070FA4"/>
    <w:rsid w:val="00071A53"/>
    <w:rsid w:val="00072598"/>
    <w:rsid w:val="000739EA"/>
    <w:rsid w:val="0007501E"/>
    <w:rsid w:val="00076E1A"/>
    <w:rsid w:val="00080F76"/>
    <w:rsid w:val="0008157A"/>
    <w:rsid w:val="000819CE"/>
    <w:rsid w:val="000829DC"/>
    <w:rsid w:val="000834C0"/>
    <w:rsid w:val="00084FBC"/>
    <w:rsid w:val="00085D86"/>
    <w:rsid w:val="000913EF"/>
    <w:rsid w:val="00091B77"/>
    <w:rsid w:val="00093637"/>
    <w:rsid w:val="00094C87"/>
    <w:rsid w:val="00095719"/>
    <w:rsid w:val="000975E0"/>
    <w:rsid w:val="000A17E9"/>
    <w:rsid w:val="000A3DD9"/>
    <w:rsid w:val="000A3E71"/>
    <w:rsid w:val="000A5128"/>
    <w:rsid w:val="000A61C2"/>
    <w:rsid w:val="000B0ABF"/>
    <w:rsid w:val="000B13D5"/>
    <w:rsid w:val="000B4ED9"/>
    <w:rsid w:val="000C09BE"/>
    <w:rsid w:val="000C55E5"/>
    <w:rsid w:val="000C5A4C"/>
    <w:rsid w:val="000D290C"/>
    <w:rsid w:val="000D6201"/>
    <w:rsid w:val="000D75F8"/>
    <w:rsid w:val="000E0CF8"/>
    <w:rsid w:val="000E1588"/>
    <w:rsid w:val="000E58B9"/>
    <w:rsid w:val="000E5BFE"/>
    <w:rsid w:val="000E6D8C"/>
    <w:rsid w:val="000E7629"/>
    <w:rsid w:val="000F3106"/>
    <w:rsid w:val="000F5E50"/>
    <w:rsid w:val="000F7677"/>
    <w:rsid w:val="0010358A"/>
    <w:rsid w:val="00104751"/>
    <w:rsid w:val="0010513B"/>
    <w:rsid w:val="001117A2"/>
    <w:rsid w:val="0011497B"/>
    <w:rsid w:val="00116389"/>
    <w:rsid w:val="001175ED"/>
    <w:rsid w:val="00127C4E"/>
    <w:rsid w:val="00130A6B"/>
    <w:rsid w:val="00131AE8"/>
    <w:rsid w:val="00132AA6"/>
    <w:rsid w:val="0013352F"/>
    <w:rsid w:val="00133AD1"/>
    <w:rsid w:val="001344D5"/>
    <w:rsid w:val="00134B88"/>
    <w:rsid w:val="00135F1E"/>
    <w:rsid w:val="00136BB3"/>
    <w:rsid w:val="00136E07"/>
    <w:rsid w:val="00137D6E"/>
    <w:rsid w:val="001409BB"/>
    <w:rsid w:val="0014339C"/>
    <w:rsid w:val="001437FF"/>
    <w:rsid w:val="00143FD7"/>
    <w:rsid w:val="00144CE9"/>
    <w:rsid w:val="0014617B"/>
    <w:rsid w:val="00150C61"/>
    <w:rsid w:val="00152D64"/>
    <w:rsid w:val="00154A33"/>
    <w:rsid w:val="00160097"/>
    <w:rsid w:val="001619A8"/>
    <w:rsid w:val="001634CA"/>
    <w:rsid w:val="0017097D"/>
    <w:rsid w:val="00170EC6"/>
    <w:rsid w:val="00171ECC"/>
    <w:rsid w:val="00172A15"/>
    <w:rsid w:val="00174743"/>
    <w:rsid w:val="00183731"/>
    <w:rsid w:val="0018554F"/>
    <w:rsid w:val="001901B2"/>
    <w:rsid w:val="001908D8"/>
    <w:rsid w:val="00191F70"/>
    <w:rsid w:val="0019419E"/>
    <w:rsid w:val="001A0618"/>
    <w:rsid w:val="001A0B79"/>
    <w:rsid w:val="001A173E"/>
    <w:rsid w:val="001A1BC7"/>
    <w:rsid w:val="001A3C48"/>
    <w:rsid w:val="001A4123"/>
    <w:rsid w:val="001A4868"/>
    <w:rsid w:val="001A7E88"/>
    <w:rsid w:val="001B08E0"/>
    <w:rsid w:val="001B25A7"/>
    <w:rsid w:val="001B2D00"/>
    <w:rsid w:val="001B479F"/>
    <w:rsid w:val="001B4D0E"/>
    <w:rsid w:val="001C04F1"/>
    <w:rsid w:val="001C0B57"/>
    <w:rsid w:val="001C4DFF"/>
    <w:rsid w:val="001C7124"/>
    <w:rsid w:val="001D2144"/>
    <w:rsid w:val="001D2792"/>
    <w:rsid w:val="001D53E7"/>
    <w:rsid w:val="001D63AC"/>
    <w:rsid w:val="001E19B1"/>
    <w:rsid w:val="001E5ACA"/>
    <w:rsid w:val="001F1408"/>
    <w:rsid w:val="001F17FD"/>
    <w:rsid w:val="001F2041"/>
    <w:rsid w:val="001F252B"/>
    <w:rsid w:val="001F2AF5"/>
    <w:rsid w:val="001F374A"/>
    <w:rsid w:val="001F3875"/>
    <w:rsid w:val="002001F4"/>
    <w:rsid w:val="00201CB3"/>
    <w:rsid w:val="002020C6"/>
    <w:rsid w:val="002026F4"/>
    <w:rsid w:val="00202F6B"/>
    <w:rsid w:val="00204001"/>
    <w:rsid w:val="00204734"/>
    <w:rsid w:val="00205015"/>
    <w:rsid w:val="002064B3"/>
    <w:rsid w:val="00206953"/>
    <w:rsid w:val="00211507"/>
    <w:rsid w:val="002116E0"/>
    <w:rsid w:val="00211891"/>
    <w:rsid w:val="00211F0B"/>
    <w:rsid w:val="00212EB3"/>
    <w:rsid w:val="002130EF"/>
    <w:rsid w:val="00213CCB"/>
    <w:rsid w:val="00215EAA"/>
    <w:rsid w:val="00216C32"/>
    <w:rsid w:val="002177EC"/>
    <w:rsid w:val="00220238"/>
    <w:rsid w:val="00221262"/>
    <w:rsid w:val="00222C77"/>
    <w:rsid w:val="002237CD"/>
    <w:rsid w:val="002245DC"/>
    <w:rsid w:val="00226A03"/>
    <w:rsid w:val="00231753"/>
    <w:rsid w:val="00231A73"/>
    <w:rsid w:val="0023202E"/>
    <w:rsid w:val="00244C59"/>
    <w:rsid w:val="0024656D"/>
    <w:rsid w:val="00246B6F"/>
    <w:rsid w:val="00252D43"/>
    <w:rsid w:val="00257E3F"/>
    <w:rsid w:val="00260AFD"/>
    <w:rsid w:val="00260D30"/>
    <w:rsid w:val="00260FBF"/>
    <w:rsid w:val="00261883"/>
    <w:rsid w:val="00262CCF"/>
    <w:rsid w:val="00263840"/>
    <w:rsid w:val="00267F90"/>
    <w:rsid w:val="0027262B"/>
    <w:rsid w:val="00272F71"/>
    <w:rsid w:val="00273BB2"/>
    <w:rsid w:val="00281300"/>
    <w:rsid w:val="00281666"/>
    <w:rsid w:val="00281CB8"/>
    <w:rsid w:val="00281CFF"/>
    <w:rsid w:val="002821BD"/>
    <w:rsid w:val="002828F8"/>
    <w:rsid w:val="002900A8"/>
    <w:rsid w:val="002930A7"/>
    <w:rsid w:val="00294824"/>
    <w:rsid w:val="002949C5"/>
    <w:rsid w:val="002A1D93"/>
    <w:rsid w:val="002A38B6"/>
    <w:rsid w:val="002A3C61"/>
    <w:rsid w:val="002A57B9"/>
    <w:rsid w:val="002A5CE4"/>
    <w:rsid w:val="002B04A9"/>
    <w:rsid w:val="002B1904"/>
    <w:rsid w:val="002B1C08"/>
    <w:rsid w:val="002B1F98"/>
    <w:rsid w:val="002B27AC"/>
    <w:rsid w:val="002C19A2"/>
    <w:rsid w:val="002C1D61"/>
    <w:rsid w:val="002C47AE"/>
    <w:rsid w:val="002C5579"/>
    <w:rsid w:val="002C5990"/>
    <w:rsid w:val="002D29E6"/>
    <w:rsid w:val="002D2A9A"/>
    <w:rsid w:val="002D2DD0"/>
    <w:rsid w:val="002D34DD"/>
    <w:rsid w:val="002D6AAB"/>
    <w:rsid w:val="002D6C5C"/>
    <w:rsid w:val="002D7036"/>
    <w:rsid w:val="002D711F"/>
    <w:rsid w:val="002D7503"/>
    <w:rsid w:val="002D78A7"/>
    <w:rsid w:val="002E2B24"/>
    <w:rsid w:val="002E2CBB"/>
    <w:rsid w:val="002E306A"/>
    <w:rsid w:val="002E31A8"/>
    <w:rsid w:val="002E5880"/>
    <w:rsid w:val="002E5ECD"/>
    <w:rsid w:val="002E66DA"/>
    <w:rsid w:val="002F2022"/>
    <w:rsid w:val="002F358D"/>
    <w:rsid w:val="002F5E48"/>
    <w:rsid w:val="002F6350"/>
    <w:rsid w:val="002F6801"/>
    <w:rsid w:val="002F703D"/>
    <w:rsid w:val="002F77C8"/>
    <w:rsid w:val="0030004C"/>
    <w:rsid w:val="003010DE"/>
    <w:rsid w:val="0030384A"/>
    <w:rsid w:val="0030503D"/>
    <w:rsid w:val="00315361"/>
    <w:rsid w:val="003216F2"/>
    <w:rsid w:val="00321B50"/>
    <w:rsid w:val="00321E8B"/>
    <w:rsid w:val="00323465"/>
    <w:rsid w:val="00324846"/>
    <w:rsid w:val="00327E7E"/>
    <w:rsid w:val="00331745"/>
    <w:rsid w:val="00331F71"/>
    <w:rsid w:val="00331FBA"/>
    <w:rsid w:val="00335441"/>
    <w:rsid w:val="0033650D"/>
    <w:rsid w:val="00340032"/>
    <w:rsid w:val="00340609"/>
    <w:rsid w:val="0034114C"/>
    <w:rsid w:val="0034779C"/>
    <w:rsid w:val="0035185D"/>
    <w:rsid w:val="00355064"/>
    <w:rsid w:val="003560AC"/>
    <w:rsid w:val="0035731E"/>
    <w:rsid w:val="003573BB"/>
    <w:rsid w:val="003574D5"/>
    <w:rsid w:val="00357542"/>
    <w:rsid w:val="00357F55"/>
    <w:rsid w:val="00361DCA"/>
    <w:rsid w:val="00362139"/>
    <w:rsid w:val="00366833"/>
    <w:rsid w:val="0037089F"/>
    <w:rsid w:val="00370C8E"/>
    <w:rsid w:val="00370DEC"/>
    <w:rsid w:val="00371A2B"/>
    <w:rsid w:val="00373987"/>
    <w:rsid w:val="00373F8C"/>
    <w:rsid w:val="00374BA4"/>
    <w:rsid w:val="00375466"/>
    <w:rsid w:val="0037704F"/>
    <w:rsid w:val="00383210"/>
    <w:rsid w:val="00383A87"/>
    <w:rsid w:val="00392241"/>
    <w:rsid w:val="00392D31"/>
    <w:rsid w:val="0039326A"/>
    <w:rsid w:val="003953C4"/>
    <w:rsid w:val="00395D00"/>
    <w:rsid w:val="00396D47"/>
    <w:rsid w:val="00397890"/>
    <w:rsid w:val="003A2C27"/>
    <w:rsid w:val="003A2FC1"/>
    <w:rsid w:val="003A3A49"/>
    <w:rsid w:val="003A4CCF"/>
    <w:rsid w:val="003B01A6"/>
    <w:rsid w:val="003B1475"/>
    <w:rsid w:val="003B19BD"/>
    <w:rsid w:val="003B22FE"/>
    <w:rsid w:val="003B266F"/>
    <w:rsid w:val="003B434B"/>
    <w:rsid w:val="003B5011"/>
    <w:rsid w:val="003B60BF"/>
    <w:rsid w:val="003B637B"/>
    <w:rsid w:val="003B6FF6"/>
    <w:rsid w:val="003B70C8"/>
    <w:rsid w:val="003C0AD3"/>
    <w:rsid w:val="003C2199"/>
    <w:rsid w:val="003C4B17"/>
    <w:rsid w:val="003C4E19"/>
    <w:rsid w:val="003C520F"/>
    <w:rsid w:val="003C548A"/>
    <w:rsid w:val="003C69B1"/>
    <w:rsid w:val="003D0334"/>
    <w:rsid w:val="003D1444"/>
    <w:rsid w:val="003D2017"/>
    <w:rsid w:val="003D6D37"/>
    <w:rsid w:val="003E0088"/>
    <w:rsid w:val="003E1FA6"/>
    <w:rsid w:val="003E2C58"/>
    <w:rsid w:val="003E2FF1"/>
    <w:rsid w:val="003E4704"/>
    <w:rsid w:val="003E6569"/>
    <w:rsid w:val="003E6E9B"/>
    <w:rsid w:val="003F1988"/>
    <w:rsid w:val="003F2FE8"/>
    <w:rsid w:val="003F31FA"/>
    <w:rsid w:val="003F6605"/>
    <w:rsid w:val="003F7918"/>
    <w:rsid w:val="004011C8"/>
    <w:rsid w:val="0040142B"/>
    <w:rsid w:val="00403D4A"/>
    <w:rsid w:val="00404282"/>
    <w:rsid w:val="00406A04"/>
    <w:rsid w:val="00406C1E"/>
    <w:rsid w:val="004115E9"/>
    <w:rsid w:val="0041216D"/>
    <w:rsid w:val="004122C3"/>
    <w:rsid w:val="0041286F"/>
    <w:rsid w:val="004147EE"/>
    <w:rsid w:val="00416ADA"/>
    <w:rsid w:val="00417925"/>
    <w:rsid w:val="00417C8C"/>
    <w:rsid w:val="00417E03"/>
    <w:rsid w:val="00421CC7"/>
    <w:rsid w:val="004242F3"/>
    <w:rsid w:val="00425A07"/>
    <w:rsid w:val="00425A55"/>
    <w:rsid w:val="00426279"/>
    <w:rsid w:val="00426C6C"/>
    <w:rsid w:val="004305E3"/>
    <w:rsid w:val="004321E5"/>
    <w:rsid w:val="0043332C"/>
    <w:rsid w:val="004336C0"/>
    <w:rsid w:val="00436367"/>
    <w:rsid w:val="0043667D"/>
    <w:rsid w:val="004429DB"/>
    <w:rsid w:val="00442FD7"/>
    <w:rsid w:val="004514A5"/>
    <w:rsid w:val="0045289C"/>
    <w:rsid w:val="00453986"/>
    <w:rsid w:val="004543A5"/>
    <w:rsid w:val="004559D1"/>
    <w:rsid w:val="00455D4A"/>
    <w:rsid w:val="00457E44"/>
    <w:rsid w:val="00457EA1"/>
    <w:rsid w:val="0046013A"/>
    <w:rsid w:val="004602FD"/>
    <w:rsid w:val="00461018"/>
    <w:rsid w:val="00462965"/>
    <w:rsid w:val="00464672"/>
    <w:rsid w:val="00464F23"/>
    <w:rsid w:val="00466396"/>
    <w:rsid w:val="00466F1F"/>
    <w:rsid w:val="004671B3"/>
    <w:rsid w:val="00467DD0"/>
    <w:rsid w:val="00473FEA"/>
    <w:rsid w:val="004812AD"/>
    <w:rsid w:val="00481A53"/>
    <w:rsid w:val="00484DE5"/>
    <w:rsid w:val="00484FE2"/>
    <w:rsid w:val="00485C16"/>
    <w:rsid w:val="00486134"/>
    <w:rsid w:val="00491792"/>
    <w:rsid w:val="00492EBE"/>
    <w:rsid w:val="00494B90"/>
    <w:rsid w:val="0049571C"/>
    <w:rsid w:val="00497B03"/>
    <w:rsid w:val="004A0D32"/>
    <w:rsid w:val="004A1859"/>
    <w:rsid w:val="004A18E0"/>
    <w:rsid w:val="004A291A"/>
    <w:rsid w:val="004A6970"/>
    <w:rsid w:val="004B1082"/>
    <w:rsid w:val="004B1BC0"/>
    <w:rsid w:val="004B1F6D"/>
    <w:rsid w:val="004B357C"/>
    <w:rsid w:val="004B5447"/>
    <w:rsid w:val="004B6C49"/>
    <w:rsid w:val="004B7D0D"/>
    <w:rsid w:val="004C0A43"/>
    <w:rsid w:val="004C11F1"/>
    <w:rsid w:val="004C2008"/>
    <w:rsid w:val="004C5B62"/>
    <w:rsid w:val="004D297B"/>
    <w:rsid w:val="004D2DB4"/>
    <w:rsid w:val="004D4505"/>
    <w:rsid w:val="004D5172"/>
    <w:rsid w:val="004E175F"/>
    <w:rsid w:val="004E39A2"/>
    <w:rsid w:val="004E4220"/>
    <w:rsid w:val="004E42F8"/>
    <w:rsid w:val="004E43AD"/>
    <w:rsid w:val="004E5685"/>
    <w:rsid w:val="004E6DE6"/>
    <w:rsid w:val="004E7480"/>
    <w:rsid w:val="004E78AB"/>
    <w:rsid w:val="004F0A3C"/>
    <w:rsid w:val="004F136D"/>
    <w:rsid w:val="004F2C68"/>
    <w:rsid w:val="004F3503"/>
    <w:rsid w:val="004F5AC8"/>
    <w:rsid w:val="004F6B7A"/>
    <w:rsid w:val="004F6DCC"/>
    <w:rsid w:val="005001B4"/>
    <w:rsid w:val="00501D03"/>
    <w:rsid w:val="00502A69"/>
    <w:rsid w:val="00502B72"/>
    <w:rsid w:val="00505938"/>
    <w:rsid w:val="00506E5F"/>
    <w:rsid w:val="00506FBF"/>
    <w:rsid w:val="0051053F"/>
    <w:rsid w:val="00510646"/>
    <w:rsid w:val="00510948"/>
    <w:rsid w:val="00511CE0"/>
    <w:rsid w:val="00511F28"/>
    <w:rsid w:val="00513473"/>
    <w:rsid w:val="005153C0"/>
    <w:rsid w:val="00516372"/>
    <w:rsid w:val="00523C1B"/>
    <w:rsid w:val="0052456A"/>
    <w:rsid w:val="00525D23"/>
    <w:rsid w:val="00526929"/>
    <w:rsid w:val="00526B67"/>
    <w:rsid w:val="00533460"/>
    <w:rsid w:val="00533B0F"/>
    <w:rsid w:val="005341BC"/>
    <w:rsid w:val="005344E7"/>
    <w:rsid w:val="00535F02"/>
    <w:rsid w:val="0053611A"/>
    <w:rsid w:val="0053646D"/>
    <w:rsid w:val="005372AA"/>
    <w:rsid w:val="00543121"/>
    <w:rsid w:val="005453C2"/>
    <w:rsid w:val="00546B20"/>
    <w:rsid w:val="00547FEE"/>
    <w:rsid w:val="005502D4"/>
    <w:rsid w:val="00555CAD"/>
    <w:rsid w:val="0055649E"/>
    <w:rsid w:val="00557F90"/>
    <w:rsid w:val="00557FCD"/>
    <w:rsid w:val="00560147"/>
    <w:rsid w:val="00560DCC"/>
    <w:rsid w:val="00561DC8"/>
    <w:rsid w:val="005638E4"/>
    <w:rsid w:val="0056693D"/>
    <w:rsid w:val="00570927"/>
    <w:rsid w:val="0057181F"/>
    <w:rsid w:val="005742D1"/>
    <w:rsid w:val="00575863"/>
    <w:rsid w:val="005801EC"/>
    <w:rsid w:val="00585DBD"/>
    <w:rsid w:val="00587DCB"/>
    <w:rsid w:val="0059071A"/>
    <w:rsid w:val="00590884"/>
    <w:rsid w:val="00590EDA"/>
    <w:rsid w:val="00595982"/>
    <w:rsid w:val="00596180"/>
    <w:rsid w:val="0059634B"/>
    <w:rsid w:val="00596564"/>
    <w:rsid w:val="00597E97"/>
    <w:rsid w:val="005A5414"/>
    <w:rsid w:val="005A5A6E"/>
    <w:rsid w:val="005B102F"/>
    <w:rsid w:val="005B135C"/>
    <w:rsid w:val="005B13E4"/>
    <w:rsid w:val="005B5567"/>
    <w:rsid w:val="005B60CD"/>
    <w:rsid w:val="005B7A9A"/>
    <w:rsid w:val="005C302D"/>
    <w:rsid w:val="005C30B7"/>
    <w:rsid w:val="005C3747"/>
    <w:rsid w:val="005C4386"/>
    <w:rsid w:val="005C4F85"/>
    <w:rsid w:val="005C5CD3"/>
    <w:rsid w:val="005D5007"/>
    <w:rsid w:val="005D71D2"/>
    <w:rsid w:val="005D7D43"/>
    <w:rsid w:val="005E11DC"/>
    <w:rsid w:val="005E1B60"/>
    <w:rsid w:val="005E32A3"/>
    <w:rsid w:val="005E3386"/>
    <w:rsid w:val="005E50E4"/>
    <w:rsid w:val="005E51D5"/>
    <w:rsid w:val="005E6CF3"/>
    <w:rsid w:val="005F1093"/>
    <w:rsid w:val="005F346D"/>
    <w:rsid w:val="005F3B29"/>
    <w:rsid w:val="005F3FDC"/>
    <w:rsid w:val="005F44AA"/>
    <w:rsid w:val="005F472E"/>
    <w:rsid w:val="005F4BD8"/>
    <w:rsid w:val="00601B92"/>
    <w:rsid w:val="00602E1E"/>
    <w:rsid w:val="006043EC"/>
    <w:rsid w:val="0060475E"/>
    <w:rsid w:val="00604C97"/>
    <w:rsid w:val="00606E37"/>
    <w:rsid w:val="0060742A"/>
    <w:rsid w:val="00610848"/>
    <w:rsid w:val="00611267"/>
    <w:rsid w:val="00613C60"/>
    <w:rsid w:val="0061702A"/>
    <w:rsid w:val="0062042C"/>
    <w:rsid w:val="00620698"/>
    <w:rsid w:val="00620C90"/>
    <w:rsid w:val="00622EBF"/>
    <w:rsid w:val="006241CF"/>
    <w:rsid w:val="006247AF"/>
    <w:rsid w:val="00627BDA"/>
    <w:rsid w:val="006303A3"/>
    <w:rsid w:val="006311CB"/>
    <w:rsid w:val="00631AA1"/>
    <w:rsid w:val="00631D96"/>
    <w:rsid w:val="00634718"/>
    <w:rsid w:val="00635948"/>
    <w:rsid w:val="00635D53"/>
    <w:rsid w:val="00636094"/>
    <w:rsid w:val="00642588"/>
    <w:rsid w:val="006431DB"/>
    <w:rsid w:val="0064433C"/>
    <w:rsid w:val="00647314"/>
    <w:rsid w:val="006505AB"/>
    <w:rsid w:val="00653F99"/>
    <w:rsid w:val="00657D53"/>
    <w:rsid w:val="006622CF"/>
    <w:rsid w:val="00662B23"/>
    <w:rsid w:val="00663EA3"/>
    <w:rsid w:val="00665DE3"/>
    <w:rsid w:val="006673E5"/>
    <w:rsid w:val="0067053B"/>
    <w:rsid w:val="00670A96"/>
    <w:rsid w:val="00672C93"/>
    <w:rsid w:val="006760B4"/>
    <w:rsid w:val="006762E5"/>
    <w:rsid w:val="00676D5B"/>
    <w:rsid w:val="006808B8"/>
    <w:rsid w:val="006833D6"/>
    <w:rsid w:val="00683E73"/>
    <w:rsid w:val="00685277"/>
    <w:rsid w:val="00686283"/>
    <w:rsid w:val="00686E2E"/>
    <w:rsid w:val="006875E8"/>
    <w:rsid w:val="00690C3F"/>
    <w:rsid w:val="0069490B"/>
    <w:rsid w:val="006A000D"/>
    <w:rsid w:val="006A078F"/>
    <w:rsid w:val="006A1ACC"/>
    <w:rsid w:val="006A353A"/>
    <w:rsid w:val="006A4718"/>
    <w:rsid w:val="006A4C6F"/>
    <w:rsid w:val="006A681A"/>
    <w:rsid w:val="006B0D53"/>
    <w:rsid w:val="006B3B53"/>
    <w:rsid w:val="006B4C5A"/>
    <w:rsid w:val="006B5464"/>
    <w:rsid w:val="006B5CA5"/>
    <w:rsid w:val="006B73F1"/>
    <w:rsid w:val="006C0B26"/>
    <w:rsid w:val="006C43E3"/>
    <w:rsid w:val="006C52BF"/>
    <w:rsid w:val="006C61C0"/>
    <w:rsid w:val="006C7EA4"/>
    <w:rsid w:val="006D1CA9"/>
    <w:rsid w:val="006D1F9B"/>
    <w:rsid w:val="006D49F5"/>
    <w:rsid w:val="006D5AAB"/>
    <w:rsid w:val="006D689F"/>
    <w:rsid w:val="006D76C0"/>
    <w:rsid w:val="006D7BCE"/>
    <w:rsid w:val="006E291F"/>
    <w:rsid w:val="006F0BBC"/>
    <w:rsid w:val="006F0E2E"/>
    <w:rsid w:val="006F13B4"/>
    <w:rsid w:val="006F199D"/>
    <w:rsid w:val="006F1D28"/>
    <w:rsid w:val="006F21DE"/>
    <w:rsid w:val="006F29E4"/>
    <w:rsid w:val="006F405E"/>
    <w:rsid w:val="006F5567"/>
    <w:rsid w:val="006F5849"/>
    <w:rsid w:val="006F610E"/>
    <w:rsid w:val="00700C6E"/>
    <w:rsid w:val="00702A78"/>
    <w:rsid w:val="00705859"/>
    <w:rsid w:val="00707335"/>
    <w:rsid w:val="00711BA0"/>
    <w:rsid w:val="007148BA"/>
    <w:rsid w:val="00720832"/>
    <w:rsid w:val="0072130D"/>
    <w:rsid w:val="007227A8"/>
    <w:rsid w:val="00724B4C"/>
    <w:rsid w:val="00727AA6"/>
    <w:rsid w:val="00727F0C"/>
    <w:rsid w:val="00730E08"/>
    <w:rsid w:val="0073375F"/>
    <w:rsid w:val="00733DF7"/>
    <w:rsid w:val="007354B0"/>
    <w:rsid w:val="00736686"/>
    <w:rsid w:val="007367B2"/>
    <w:rsid w:val="00737625"/>
    <w:rsid w:val="0074022D"/>
    <w:rsid w:val="0074079A"/>
    <w:rsid w:val="0074587B"/>
    <w:rsid w:val="007507AD"/>
    <w:rsid w:val="007510A9"/>
    <w:rsid w:val="00751EBF"/>
    <w:rsid w:val="00753969"/>
    <w:rsid w:val="00764BEF"/>
    <w:rsid w:val="00764CC6"/>
    <w:rsid w:val="007661BF"/>
    <w:rsid w:val="0076621F"/>
    <w:rsid w:val="0076653A"/>
    <w:rsid w:val="00766887"/>
    <w:rsid w:val="007701F9"/>
    <w:rsid w:val="00770BDA"/>
    <w:rsid w:val="007715DD"/>
    <w:rsid w:val="00772077"/>
    <w:rsid w:val="00772710"/>
    <w:rsid w:val="00773B7A"/>
    <w:rsid w:val="00774DC9"/>
    <w:rsid w:val="00775624"/>
    <w:rsid w:val="00780FBB"/>
    <w:rsid w:val="0078132E"/>
    <w:rsid w:val="00786B5C"/>
    <w:rsid w:val="00787A47"/>
    <w:rsid w:val="00792A55"/>
    <w:rsid w:val="00794C8F"/>
    <w:rsid w:val="00795687"/>
    <w:rsid w:val="007959BB"/>
    <w:rsid w:val="00795ED5"/>
    <w:rsid w:val="007A0AD6"/>
    <w:rsid w:val="007A112A"/>
    <w:rsid w:val="007A5BE9"/>
    <w:rsid w:val="007A6C22"/>
    <w:rsid w:val="007A6E02"/>
    <w:rsid w:val="007B0762"/>
    <w:rsid w:val="007B15AB"/>
    <w:rsid w:val="007B2566"/>
    <w:rsid w:val="007B27F2"/>
    <w:rsid w:val="007B2C89"/>
    <w:rsid w:val="007B374E"/>
    <w:rsid w:val="007B4A1D"/>
    <w:rsid w:val="007B5CAF"/>
    <w:rsid w:val="007B7FBF"/>
    <w:rsid w:val="007C023D"/>
    <w:rsid w:val="007C1058"/>
    <w:rsid w:val="007C2844"/>
    <w:rsid w:val="007C6F4F"/>
    <w:rsid w:val="007D064A"/>
    <w:rsid w:val="007D2788"/>
    <w:rsid w:val="007D5351"/>
    <w:rsid w:val="007E0188"/>
    <w:rsid w:val="007E0683"/>
    <w:rsid w:val="007E2250"/>
    <w:rsid w:val="007E37D1"/>
    <w:rsid w:val="007E5BCB"/>
    <w:rsid w:val="007F3B2A"/>
    <w:rsid w:val="007F4242"/>
    <w:rsid w:val="00800D28"/>
    <w:rsid w:val="00807463"/>
    <w:rsid w:val="00810891"/>
    <w:rsid w:val="0081173E"/>
    <w:rsid w:val="0081218F"/>
    <w:rsid w:val="00815DB6"/>
    <w:rsid w:val="00815DBC"/>
    <w:rsid w:val="008170B8"/>
    <w:rsid w:val="00817715"/>
    <w:rsid w:val="00820596"/>
    <w:rsid w:val="0082654C"/>
    <w:rsid w:val="00831395"/>
    <w:rsid w:val="008314EF"/>
    <w:rsid w:val="008325ED"/>
    <w:rsid w:val="00833293"/>
    <w:rsid w:val="0083478E"/>
    <w:rsid w:val="00840D19"/>
    <w:rsid w:val="0084397F"/>
    <w:rsid w:val="00845714"/>
    <w:rsid w:val="00845DA4"/>
    <w:rsid w:val="0084612E"/>
    <w:rsid w:val="008474F1"/>
    <w:rsid w:val="008475AC"/>
    <w:rsid w:val="00850818"/>
    <w:rsid w:val="00852D8B"/>
    <w:rsid w:val="00852EAD"/>
    <w:rsid w:val="00853AC4"/>
    <w:rsid w:val="00856288"/>
    <w:rsid w:val="0086078E"/>
    <w:rsid w:val="008636CA"/>
    <w:rsid w:val="00863F6D"/>
    <w:rsid w:val="0086418C"/>
    <w:rsid w:val="008643BC"/>
    <w:rsid w:val="008643FA"/>
    <w:rsid w:val="00865FBD"/>
    <w:rsid w:val="00871887"/>
    <w:rsid w:val="00872118"/>
    <w:rsid w:val="00872900"/>
    <w:rsid w:val="00873783"/>
    <w:rsid w:val="00874F0E"/>
    <w:rsid w:val="008837EC"/>
    <w:rsid w:val="00884896"/>
    <w:rsid w:val="008901DA"/>
    <w:rsid w:val="00890EDB"/>
    <w:rsid w:val="00893135"/>
    <w:rsid w:val="0089333A"/>
    <w:rsid w:val="00894277"/>
    <w:rsid w:val="008960FE"/>
    <w:rsid w:val="008A018B"/>
    <w:rsid w:val="008A1622"/>
    <w:rsid w:val="008A1DFA"/>
    <w:rsid w:val="008A3DF0"/>
    <w:rsid w:val="008A444E"/>
    <w:rsid w:val="008A4E49"/>
    <w:rsid w:val="008A5A8A"/>
    <w:rsid w:val="008A666C"/>
    <w:rsid w:val="008A6C5B"/>
    <w:rsid w:val="008A7581"/>
    <w:rsid w:val="008B0E5D"/>
    <w:rsid w:val="008B3297"/>
    <w:rsid w:val="008B5D46"/>
    <w:rsid w:val="008B696D"/>
    <w:rsid w:val="008C21F1"/>
    <w:rsid w:val="008C5055"/>
    <w:rsid w:val="008C796D"/>
    <w:rsid w:val="008D16F9"/>
    <w:rsid w:val="008D1B32"/>
    <w:rsid w:val="008D2EA0"/>
    <w:rsid w:val="008D3125"/>
    <w:rsid w:val="008D3A90"/>
    <w:rsid w:val="008D5D6F"/>
    <w:rsid w:val="008E29B3"/>
    <w:rsid w:val="008E3930"/>
    <w:rsid w:val="008E592C"/>
    <w:rsid w:val="008E5E9B"/>
    <w:rsid w:val="008F0715"/>
    <w:rsid w:val="008F3EF5"/>
    <w:rsid w:val="008F4B29"/>
    <w:rsid w:val="008F516C"/>
    <w:rsid w:val="008F6575"/>
    <w:rsid w:val="008F658D"/>
    <w:rsid w:val="008F65F8"/>
    <w:rsid w:val="00901F1F"/>
    <w:rsid w:val="009051C1"/>
    <w:rsid w:val="00906131"/>
    <w:rsid w:val="009119A9"/>
    <w:rsid w:val="00913808"/>
    <w:rsid w:val="00913B69"/>
    <w:rsid w:val="00914066"/>
    <w:rsid w:val="00914632"/>
    <w:rsid w:val="009153C2"/>
    <w:rsid w:val="00915D3E"/>
    <w:rsid w:val="009178BB"/>
    <w:rsid w:val="00920082"/>
    <w:rsid w:val="00921606"/>
    <w:rsid w:val="009221B5"/>
    <w:rsid w:val="00930959"/>
    <w:rsid w:val="009329CB"/>
    <w:rsid w:val="009329E1"/>
    <w:rsid w:val="00934055"/>
    <w:rsid w:val="00934CC2"/>
    <w:rsid w:val="00935467"/>
    <w:rsid w:val="009357EE"/>
    <w:rsid w:val="0093765E"/>
    <w:rsid w:val="00941494"/>
    <w:rsid w:val="00944132"/>
    <w:rsid w:val="0094449C"/>
    <w:rsid w:val="00944CFC"/>
    <w:rsid w:val="009474A4"/>
    <w:rsid w:val="00951678"/>
    <w:rsid w:val="0095174D"/>
    <w:rsid w:val="00951CC5"/>
    <w:rsid w:val="00953340"/>
    <w:rsid w:val="00955E99"/>
    <w:rsid w:val="00957443"/>
    <w:rsid w:val="00957931"/>
    <w:rsid w:val="00957DE1"/>
    <w:rsid w:val="00960F22"/>
    <w:rsid w:val="00961441"/>
    <w:rsid w:val="0096258F"/>
    <w:rsid w:val="00962D08"/>
    <w:rsid w:val="0096450B"/>
    <w:rsid w:val="00965063"/>
    <w:rsid w:val="00965EE9"/>
    <w:rsid w:val="009753D0"/>
    <w:rsid w:val="00975C0D"/>
    <w:rsid w:val="00980389"/>
    <w:rsid w:val="00980EE2"/>
    <w:rsid w:val="0098171D"/>
    <w:rsid w:val="0098363A"/>
    <w:rsid w:val="009876F8"/>
    <w:rsid w:val="009907AC"/>
    <w:rsid w:val="009914E4"/>
    <w:rsid w:val="009953D5"/>
    <w:rsid w:val="00995E4D"/>
    <w:rsid w:val="00995FD8"/>
    <w:rsid w:val="00996FC0"/>
    <w:rsid w:val="009A0AB8"/>
    <w:rsid w:val="009A1AEF"/>
    <w:rsid w:val="009A278A"/>
    <w:rsid w:val="009A2C23"/>
    <w:rsid w:val="009A39F3"/>
    <w:rsid w:val="009B01B6"/>
    <w:rsid w:val="009B1036"/>
    <w:rsid w:val="009B142F"/>
    <w:rsid w:val="009B208F"/>
    <w:rsid w:val="009B2B73"/>
    <w:rsid w:val="009B544B"/>
    <w:rsid w:val="009B6E79"/>
    <w:rsid w:val="009B70C6"/>
    <w:rsid w:val="009C0A18"/>
    <w:rsid w:val="009C0C3C"/>
    <w:rsid w:val="009C212A"/>
    <w:rsid w:val="009C2EBB"/>
    <w:rsid w:val="009C3697"/>
    <w:rsid w:val="009C7161"/>
    <w:rsid w:val="009C7BEC"/>
    <w:rsid w:val="009C7EBD"/>
    <w:rsid w:val="009D0CC7"/>
    <w:rsid w:val="009D1430"/>
    <w:rsid w:val="009D4572"/>
    <w:rsid w:val="009D5FFF"/>
    <w:rsid w:val="009D62DD"/>
    <w:rsid w:val="009D697F"/>
    <w:rsid w:val="009D71B5"/>
    <w:rsid w:val="009E0966"/>
    <w:rsid w:val="009E3A7B"/>
    <w:rsid w:val="009E4100"/>
    <w:rsid w:val="009E7D2E"/>
    <w:rsid w:val="009F10D4"/>
    <w:rsid w:val="009F2822"/>
    <w:rsid w:val="009F3966"/>
    <w:rsid w:val="009F44C9"/>
    <w:rsid w:val="009F4A72"/>
    <w:rsid w:val="009F56A3"/>
    <w:rsid w:val="009F71C1"/>
    <w:rsid w:val="009F7720"/>
    <w:rsid w:val="00A00F8A"/>
    <w:rsid w:val="00A042B7"/>
    <w:rsid w:val="00A05580"/>
    <w:rsid w:val="00A05634"/>
    <w:rsid w:val="00A06285"/>
    <w:rsid w:val="00A07E5B"/>
    <w:rsid w:val="00A101DA"/>
    <w:rsid w:val="00A10DEA"/>
    <w:rsid w:val="00A12636"/>
    <w:rsid w:val="00A131DC"/>
    <w:rsid w:val="00A13605"/>
    <w:rsid w:val="00A142D5"/>
    <w:rsid w:val="00A14772"/>
    <w:rsid w:val="00A156F9"/>
    <w:rsid w:val="00A158A3"/>
    <w:rsid w:val="00A15A10"/>
    <w:rsid w:val="00A17D43"/>
    <w:rsid w:val="00A22095"/>
    <w:rsid w:val="00A22733"/>
    <w:rsid w:val="00A22C2F"/>
    <w:rsid w:val="00A27553"/>
    <w:rsid w:val="00A27CCD"/>
    <w:rsid w:val="00A3066E"/>
    <w:rsid w:val="00A31E6B"/>
    <w:rsid w:val="00A33418"/>
    <w:rsid w:val="00A33FA5"/>
    <w:rsid w:val="00A34505"/>
    <w:rsid w:val="00A35B03"/>
    <w:rsid w:val="00A3655A"/>
    <w:rsid w:val="00A36F93"/>
    <w:rsid w:val="00A4096E"/>
    <w:rsid w:val="00A40FD9"/>
    <w:rsid w:val="00A411D6"/>
    <w:rsid w:val="00A41412"/>
    <w:rsid w:val="00A423CA"/>
    <w:rsid w:val="00A4468E"/>
    <w:rsid w:val="00A45349"/>
    <w:rsid w:val="00A45367"/>
    <w:rsid w:val="00A45558"/>
    <w:rsid w:val="00A4560A"/>
    <w:rsid w:val="00A51F2F"/>
    <w:rsid w:val="00A5224F"/>
    <w:rsid w:val="00A52482"/>
    <w:rsid w:val="00A52B57"/>
    <w:rsid w:val="00A53B7C"/>
    <w:rsid w:val="00A542F7"/>
    <w:rsid w:val="00A54729"/>
    <w:rsid w:val="00A54CE5"/>
    <w:rsid w:val="00A5548F"/>
    <w:rsid w:val="00A56F64"/>
    <w:rsid w:val="00A5707C"/>
    <w:rsid w:val="00A57D6E"/>
    <w:rsid w:val="00A60E67"/>
    <w:rsid w:val="00A67F71"/>
    <w:rsid w:val="00A73369"/>
    <w:rsid w:val="00A7633E"/>
    <w:rsid w:val="00A763B4"/>
    <w:rsid w:val="00A76CB1"/>
    <w:rsid w:val="00A76FE5"/>
    <w:rsid w:val="00A7758F"/>
    <w:rsid w:val="00A802C5"/>
    <w:rsid w:val="00A8067E"/>
    <w:rsid w:val="00A807DF"/>
    <w:rsid w:val="00A80B12"/>
    <w:rsid w:val="00A829A4"/>
    <w:rsid w:val="00A83501"/>
    <w:rsid w:val="00A84722"/>
    <w:rsid w:val="00A900BA"/>
    <w:rsid w:val="00A905D0"/>
    <w:rsid w:val="00A957FB"/>
    <w:rsid w:val="00A95AA2"/>
    <w:rsid w:val="00A965D9"/>
    <w:rsid w:val="00A9752A"/>
    <w:rsid w:val="00AA19AD"/>
    <w:rsid w:val="00AA33C9"/>
    <w:rsid w:val="00AA382B"/>
    <w:rsid w:val="00AA4927"/>
    <w:rsid w:val="00AA7C9B"/>
    <w:rsid w:val="00AB10B3"/>
    <w:rsid w:val="00AB635B"/>
    <w:rsid w:val="00AC2318"/>
    <w:rsid w:val="00AC277F"/>
    <w:rsid w:val="00AC7685"/>
    <w:rsid w:val="00AE0783"/>
    <w:rsid w:val="00AE07F8"/>
    <w:rsid w:val="00AE292F"/>
    <w:rsid w:val="00AE41C0"/>
    <w:rsid w:val="00AE50FE"/>
    <w:rsid w:val="00AF048A"/>
    <w:rsid w:val="00AF0DFC"/>
    <w:rsid w:val="00AF5AB8"/>
    <w:rsid w:val="00AF6825"/>
    <w:rsid w:val="00AF79CB"/>
    <w:rsid w:val="00B0194F"/>
    <w:rsid w:val="00B03CAA"/>
    <w:rsid w:val="00B0551A"/>
    <w:rsid w:val="00B062B7"/>
    <w:rsid w:val="00B06642"/>
    <w:rsid w:val="00B07C61"/>
    <w:rsid w:val="00B11501"/>
    <w:rsid w:val="00B121B6"/>
    <w:rsid w:val="00B128B3"/>
    <w:rsid w:val="00B12B73"/>
    <w:rsid w:val="00B14932"/>
    <w:rsid w:val="00B173D2"/>
    <w:rsid w:val="00B2086E"/>
    <w:rsid w:val="00B216AC"/>
    <w:rsid w:val="00B2193A"/>
    <w:rsid w:val="00B26737"/>
    <w:rsid w:val="00B27A33"/>
    <w:rsid w:val="00B302F0"/>
    <w:rsid w:val="00B30F29"/>
    <w:rsid w:val="00B31659"/>
    <w:rsid w:val="00B342F0"/>
    <w:rsid w:val="00B34FBE"/>
    <w:rsid w:val="00B35AFF"/>
    <w:rsid w:val="00B3618B"/>
    <w:rsid w:val="00B406E4"/>
    <w:rsid w:val="00B4089C"/>
    <w:rsid w:val="00B42C58"/>
    <w:rsid w:val="00B46076"/>
    <w:rsid w:val="00B47D7B"/>
    <w:rsid w:val="00B52702"/>
    <w:rsid w:val="00B531AA"/>
    <w:rsid w:val="00B54552"/>
    <w:rsid w:val="00B55021"/>
    <w:rsid w:val="00B5505E"/>
    <w:rsid w:val="00B5662C"/>
    <w:rsid w:val="00B5735E"/>
    <w:rsid w:val="00B5779A"/>
    <w:rsid w:val="00B57E1D"/>
    <w:rsid w:val="00B6443F"/>
    <w:rsid w:val="00B654F6"/>
    <w:rsid w:val="00B66FF5"/>
    <w:rsid w:val="00B67F32"/>
    <w:rsid w:val="00B70DA0"/>
    <w:rsid w:val="00B7122A"/>
    <w:rsid w:val="00B73414"/>
    <w:rsid w:val="00B73A61"/>
    <w:rsid w:val="00B776E7"/>
    <w:rsid w:val="00B8044B"/>
    <w:rsid w:val="00B80793"/>
    <w:rsid w:val="00B80AF0"/>
    <w:rsid w:val="00B81923"/>
    <w:rsid w:val="00B81FC0"/>
    <w:rsid w:val="00B82809"/>
    <w:rsid w:val="00B8323F"/>
    <w:rsid w:val="00B8369D"/>
    <w:rsid w:val="00B84529"/>
    <w:rsid w:val="00B84EBC"/>
    <w:rsid w:val="00B85C9A"/>
    <w:rsid w:val="00B93D2A"/>
    <w:rsid w:val="00B951F3"/>
    <w:rsid w:val="00BA236C"/>
    <w:rsid w:val="00BA2A28"/>
    <w:rsid w:val="00BA399C"/>
    <w:rsid w:val="00BA49A2"/>
    <w:rsid w:val="00BA58A7"/>
    <w:rsid w:val="00BA61DE"/>
    <w:rsid w:val="00BB01CC"/>
    <w:rsid w:val="00BB1870"/>
    <w:rsid w:val="00BB3788"/>
    <w:rsid w:val="00BB446D"/>
    <w:rsid w:val="00BB6FBB"/>
    <w:rsid w:val="00BC20E3"/>
    <w:rsid w:val="00BC2DA3"/>
    <w:rsid w:val="00BC4C1C"/>
    <w:rsid w:val="00BC5093"/>
    <w:rsid w:val="00BC6078"/>
    <w:rsid w:val="00BC6F02"/>
    <w:rsid w:val="00BC735B"/>
    <w:rsid w:val="00BD087E"/>
    <w:rsid w:val="00BD4525"/>
    <w:rsid w:val="00BD4A2E"/>
    <w:rsid w:val="00BD7988"/>
    <w:rsid w:val="00BE0222"/>
    <w:rsid w:val="00BE1902"/>
    <w:rsid w:val="00BE1FA4"/>
    <w:rsid w:val="00BE357F"/>
    <w:rsid w:val="00BE39A1"/>
    <w:rsid w:val="00BE3B13"/>
    <w:rsid w:val="00BE755C"/>
    <w:rsid w:val="00BE782A"/>
    <w:rsid w:val="00BF0B19"/>
    <w:rsid w:val="00BF2156"/>
    <w:rsid w:val="00BF24B4"/>
    <w:rsid w:val="00BF36EE"/>
    <w:rsid w:val="00BF3DD0"/>
    <w:rsid w:val="00BF40D9"/>
    <w:rsid w:val="00BF6BBD"/>
    <w:rsid w:val="00BF6F1F"/>
    <w:rsid w:val="00C028DD"/>
    <w:rsid w:val="00C02DF8"/>
    <w:rsid w:val="00C0545D"/>
    <w:rsid w:val="00C11388"/>
    <w:rsid w:val="00C141EE"/>
    <w:rsid w:val="00C14216"/>
    <w:rsid w:val="00C15971"/>
    <w:rsid w:val="00C16D6C"/>
    <w:rsid w:val="00C174CA"/>
    <w:rsid w:val="00C21CEB"/>
    <w:rsid w:val="00C2372E"/>
    <w:rsid w:val="00C25789"/>
    <w:rsid w:val="00C26ED0"/>
    <w:rsid w:val="00C2729B"/>
    <w:rsid w:val="00C27EEF"/>
    <w:rsid w:val="00C3148C"/>
    <w:rsid w:val="00C348E3"/>
    <w:rsid w:val="00C36FD5"/>
    <w:rsid w:val="00C3705D"/>
    <w:rsid w:val="00C374BA"/>
    <w:rsid w:val="00C375A0"/>
    <w:rsid w:val="00C41158"/>
    <w:rsid w:val="00C44040"/>
    <w:rsid w:val="00C46241"/>
    <w:rsid w:val="00C46252"/>
    <w:rsid w:val="00C46858"/>
    <w:rsid w:val="00C50580"/>
    <w:rsid w:val="00C51A8B"/>
    <w:rsid w:val="00C541C2"/>
    <w:rsid w:val="00C56D9B"/>
    <w:rsid w:val="00C5760D"/>
    <w:rsid w:val="00C57EC9"/>
    <w:rsid w:val="00C6020D"/>
    <w:rsid w:val="00C638C3"/>
    <w:rsid w:val="00C64A5A"/>
    <w:rsid w:val="00C64CB6"/>
    <w:rsid w:val="00C65F17"/>
    <w:rsid w:val="00C66D90"/>
    <w:rsid w:val="00C7006A"/>
    <w:rsid w:val="00C715D6"/>
    <w:rsid w:val="00C742E1"/>
    <w:rsid w:val="00C75890"/>
    <w:rsid w:val="00C75E9A"/>
    <w:rsid w:val="00C7666A"/>
    <w:rsid w:val="00C77E37"/>
    <w:rsid w:val="00C841C1"/>
    <w:rsid w:val="00C85156"/>
    <w:rsid w:val="00C858CA"/>
    <w:rsid w:val="00C85964"/>
    <w:rsid w:val="00C86869"/>
    <w:rsid w:val="00C86A74"/>
    <w:rsid w:val="00C91269"/>
    <w:rsid w:val="00C944BF"/>
    <w:rsid w:val="00C95DC2"/>
    <w:rsid w:val="00C967AC"/>
    <w:rsid w:val="00C9714A"/>
    <w:rsid w:val="00CA0B9D"/>
    <w:rsid w:val="00CA1914"/>
    <w:rsid w:val="00CA247B"/>
    <w:rsid w:val="00CA2707"/>
    <w:rsid w:val="00CA3BDD"/>
    <w:rsid w:val="00CA441D"/>
    <w:rsid w:val="00CA458F"/>
    <w:rsid w:val="00CA524D"/>
    <w:rsid w:val="00CB0C08"/>
    <w:rsid w:val="00CB1611"/>
    <w:rsid w:val="00CB1629"/>
    <w:rsid w:val="00CB18B4"/>
    <w:rsid w:val="00CB52D1"/>
    <w:rsid w:val="00CB65AC"/>
    <w:rsid w:val="00CB66F3"/>
    <w:rsid w:val="00CB76EF"/>
    <w:rsid w:val="00CC009A"/>
    <w:rsid w:val="00CC2285"/>
    <w:rsid w:val="00CC5255"/>
    <w:rsid w:val="00CC5F10"/>
    <w:rsid w:val="00CD0FCF"/>
    <w:rsid w:val="00CD1CE0"/>
    <w:rsid w:val="00CD2CCB"/>
    <w:rsid w:val="00CD36CD"/>
    <w:rsid w:val="00CD4AE2"/>
    <w:rsid w:val="00CE1879"/>
    <w:rsid w:val="00CE273C"/>
    <w:rsid w:val="00CE2BF4"/>
    <w:rsid w:val="00CE4F02"/>
    <w:rsid w:val="00CE621C"/>
    <w:rsid w:val="00CF0A22"/>
    <w:rsid w:val="00CF280A"/>
    <w:rsid w:val="00CF2914"/>
    <w:rsid w:val="00CF2BC1"/>
    <w:rsid w:val="00CF2F81"/>
    <w:rsid w:val="00CF3C17"/>
    <w:rsid w:val="00CF3F91"/>
    <w:rsid w:val="00D0028E"/>
    <w:rsid w:val="00D0226C"/>
    <w:rsid w:val="00D022F7"/>
    <w:rsid w:val="00D02C9E"/>
    <w:rsid w:val="00D03295"/>
    <w:rsid w:val="00D03AED"/>
    <w:rsid w:val="00D03C12"/>
    <w:rsid w:val="00D04806"/>
    <w:rsid w:val="00D04B2D"/>
    <w:rsid w:val="00D06DD9"/>
    <w:rsid w:val="00D0710F"/>
    <w:rsid w:val="00D1137B"/>
    <w:rsid w:val="00D14A51"/>
    <w:rsid w:val="00D14B31"/>
    <w:rsid w:val="00D15553"/>
    <w:rsid w:val="00D15AEA"/>
    <w:rsid w:val="00D15BFB"/>
    <w:rsid w:val="00D16341"/>
    <w:rsid w:val="00D174F0"/>
    <w:rsid w:val="00D20D26"/>
    <w:rsid w:val="00D21F0A"/>
    <w:rsid w:val="00D238FA"/>
    <w:rsid w:val="00D23F9A"/>
    <w:rsid w:val="00D25DEA"/>
    <w:rsid w:val="00D26A46"/>
    <w:rsid w:val="00D278ED"/>
    <w:rsid w:val="00D27B30"/>
    <w:rsid w:val="00D3044C"/>
    <w:rsid w:val="00D32157"/>
    <w:rsid w:val="00D34815"/>
    <w:rsid w:val="00D35729"/>
    <w:rsid w:val="00D3723D"/>
    <w:rsid w:val="00D372B7"/>
    <w:rsid w:val="00D405B6"/>
    <w:rsid w:val="00D41B62"/>
    <w:rsid w:val="00D41BCB"/>
    <w:rsid w:val="00D41DC9"/>
    <w:rsid w:val="00D41E2A"/>
    <w:rsid w:val="00D44ABC"/>
    <w:rsid w:val="00D46CC6"/>
    <w:rsid w:val="00D52A9D"/>
    <w:rsid w:val="00D5429F"/>
    <w:rsid w:val="00D547E4"/>
    <w:rsid w:val="00D60026"/>
    <w:rsid w:val="00D60813"/>
    <w:rsid w:val="00D61579"/>
    <w:rsid w:val="00D620F6"/>
    <w:rsid w:val="00D62D7E"/>
    <w:rsid w:val="00D70AB5"/>
    <w:rsid w:val="00D71055"/>
    <w:rsid w:val="00D7305F"/>
    <w:rsid w:val="00D763B3"/>
    <w:rsid w:val="00D775B1"/>
    <w:rsid w:val="00D77976"/>
    <w:rsid w:val="00D810D2"/>
    <w:rsid w:val="00D81D9B"/>
    <w:rsid w:val="00D82892"/>
    <w:rsid w:val="00D831FC"/>
    <w:rsid w:val="00D87648"/>
    <w:rsid w:val="00D91C00"/>
    <w:rsid w:val="00D9265B"/>
    <w:rsid w:val="00D93AA4"/>
    <w:rsid w:val="00D9616A"/>
    <w:rsid w:val="00DA151C"/>
    <w:rsid w:val="00DA3092"/>
    <w:rsid w:val="00DA3758"/>
    <w:rsid w:val="00DA409D"/>
    <w:rsid w:val="00DA5E1E"/>
    <w:rsid w:val="00DB0D2D"/>
    <w:rsid w:val="00DB0FC9"/>
    <w:rsid w:val="00DB15B2"/>
    <w:rsid w:val="00DB1C27"/>
    <w:rsid w:val="00DB3EA7"/>
    <w:rsid w:val="00DB43B4"/>
    <w:rsid w:val="00DB482C"/>
    <w:rsid w:val="00DB4DBA"/>
    <w:rsid w:val="00DB747E"/>
    <w:rsid w:val="00DB795C"/>
    <w:rsid w:val="00DC0F14"/>
    <w:rsid w:val="00DC2F02"/>
    <w:rsid w:val="00DC370B"/>
    <w:rsid w:val="00DC56E0"/>
    <w:rsid w:val="00DC6AC9"/>
    <w:rsid w:val="00DC7325"/>
    <w:rsid w:val="00DD1BBC"/>
    <w:rsid w:val="00DD2324"/>
    <w:rsid w:val="00DD5C04"/>
    <w:rsid w:val="00DD5DC6"/>
    <w:rsid w:val="00DE3F45"/>
    <w:rsid w:val="00DE40D5"/>
    <w:rsid w:val="00DE49C9"/>
    <w:rsid w:val="00DF1B69"/>
    <w:rsid w:val="00DF40CF"/>
    <w:rsid w:val="00DF419F"/>
    <w:rsid w:val="00DF6942"/>
    <w:rsid w:val="00DF70D5"/>
    <w:rsid w:val="00E00502"/>
    <w:rsid w:val="00E008EF"/>
    <w:rsid w:val="00E00E41"/>
    <w:rsid w:val="00E052F5"/>
    <w:rsid w:val="00E10AAF"/>
    <w:rsid w:val="00E1264D"/>
    <w:rsid w:val="00E12E8F"/>
    <w:rsid w:val="00E13151"/>
    <w:rsid w:val="00E14E5D"/>
    <w:rsid w:val="00E1661E"/>
    <w:rsid w:val="00E1755C"/>
    <w:rsid w:val="00E176AE"/>
    <w:rsid w:val="00E206CA"/>
    <w:rsid w:val="00E220D5"/>
    <w:rsid w:val="00E22D10"/>
    <w:rsid w:val="00E249D5"/>
    <w:rsid w:val="00E24F7C"/>
    <w:rsid w:val="00E26B7E"/>
    <w:rsid w:val="00E3139E"/>
    <w:rsid w:val="00E31A51"/>
    <w:rsid w:val="00E35AA1"/>
    <w:rsid w:val="00E364CA"/>
    <w:rsid w:val="00E37ED6"/>
    <w:rsid w:val="00E4093A"/>
    <w:rsid w:val="00E4180F"/>
    <w:rsid w:val="00E44634"/>
    <w:rsid w:val="00E44D68"/>
    <w:rsid w:val="00E5033F"/>
    <w:rsid w:val="00E504AA"/>
    <w:rsid w:val="00E505AF"/>
    <w:rsid w:val="00E52A59"/>
    <w:rsid w:val="00E551A6"/>
    <w:rsid w:val="00E60D66"/>
    <w:rsid w:val="00E60DBD"/>
    <w:rsid w:val="00E6280E"/>
    <w:rsid w:val="00E64E4E"/>
    <w:rsid w:val="00E65E6C"/>
    <w:rsid w:val="00E66402"/>
    <w:rsid w:val="00E67D6E"/>
    <w:rsid w:val="00E71187"/>
    <w:rsid w:val="00E74F22"/>
    <w:rsid w:val="00E76BE8"/>
    <w:rsid w:val="00E7724F"/>
    <w:rsid w:val="00E77611"/>
    <w:rsid w:val="00E80E31"/>
    <w:rsid w:val="00E832BA"/>
    <w:rsid w:val="00E85CCC"/>
    <w:rsid w:val="00E87496"/>
    <w:rsid w:val="00E92125"/>
    <w:rsid w:val="00E9330C"/>
    <w:rsid w:val="00E9475C"/>
    <w:rsid w:val="00E957E4"/>
    <w:rsid w:val="00E96D1E"/>
    <w:rsid w:val="00EA0006"/>
    <w:rsid w:val="00EA393D"/>
    <w:rsid w:val="00EA445E"/>
    <w:rsid w:val="00EA4788"/>
    <w:rsid w:val="00EA507A"/>
    <w:rsid w:val="00EA56B8"/>
    <w:rsid w:val="00EA5AD6"/>
    <w:rsid w:val="00EB352D"/>
    <w:rsid w:val="00EB5523"/>
    <w:rsid w:val="00EC01DE"/>
    <w:rsid w:val="00EC26EE"/>
    <w:rsid w:val="00EC2B2C"/>
    <w:rsid w:val="00EC33E9"/>
    <w:rsid w:val="00EC4687"/>
    <w:rsid w:val="00EC50BE"/>
    <w:rsid w:val="00EC7B86"/>
    <w:rsid w:val="00ED0FFB"/>
    <w:rsid w:val="00ED171F"/>
    <w:rsid w:val="00ED3C0D"/>
    <w:rsid w:val="00ED3D90"/>
    <w:rsid w:val="00ED4344"/>
    <w:rsid w:val="00ED4EE5"/>
    <w:rsid w:val="00ED5373"/>
    <w:rsid w:val="00ED5EDE"/>
    <w:rsid w:val="00ED6CE0"/>
    <w:rsid w:val="00ED7868"/>
    <w:rsid w:val="00EE0B47"/>
    <w:rsid w:val="00EE16AE"/>
    <w:rsid w:val="00EF11C1"/>
    <w:rsid w:val="00EF17FF"/>
    <w:rsid w:val="00EF4A16"/>
    <w:rsid w:val="00EF4F87"/>
    <w:rsid w:val="00EF700F"/>
    <w:rsid w:val="00F00320"/>
    <w:rsid w:val="00F01BC1"/>
    <w:rsid w:val="00F0218B"/>
    <w:rsid w:val="00F041BA"/>
    <w:rsid w:val="00F04FF9"/>
    <w:rsid w:val="00F0538B"/>
    <w:rsid w:val="00F06A5D"/>
    <w:rsid w:val="00F07557"/>
    <w:rsid w:val="00F07D98"/>
    <w:rsid w:val="00F11986"/>
    <w:rsid w:val="00F11E77"/>
    <w:rsid w:val="00F13035"/>
    <w:rsid w:val="00F155BD"/>
    <w:rsid w:val="00F15F0F"/>
    <w:rsid w:val="00F1717B"/>
    <w:rsid w:val="00F17821"/>
    <w:rsid w:val="00F20761"/>
    <w:rsid w:val="00F21EE5"/>
    <w:rsid w:val="00F24667"/>
    <w:rsid w:val="00F24CA6"/>
    <w:rsid w:val="00F25AF0"/>
    <w:rsid w:val="00F26199"/>
    <w:rsid w:val="00F327A0"/>
    <w:rsid w:val="00F36959"/>
    <w:rsid w:val="00F36A82"/>
    <w:rsid w:val="00F36F23"/>
    <w:rsid w:val="00F400DE"/>
    <w:rsid w:val="00F42D35"/>
    <w:rsid w:val="00F434AA"/>
    <w:rsid w:val="00F4412C"/>
    <w:rsid w:val="00F5125B"/>
    <w:rsid w:val="00F51DFA"/>
    <w:rsid w:val="00F52116"/>
    <w:rsid w:val="00F56EA8"/>
    <w:rsid w:val="00F61A73"/>
    <w:rsid w:val="00F62484"/>
    <w:rsid w:val="00F62C7E"/>
    <w:rsid w:val="00F62FDD"/>
    <w:rsid w:val="00F6332A"/>
    <w:rsid w:val="00F640AA"/>
    <w:rsid w:val="00F64E85"/>
    <w:rsid w:val="00F65F8B"/>
    <w:rsid w:val="00F66132"/>
    <w:rsid w:val="00F66151"/>
    <w:rsid w:val="00F672F0"/>
    <w:rsid w:val="00F72D6F"/>
    <w:rsid w:val="00F80547"/>
    <w:rsid w:val="00F82BE1"/>
    <w:rsid w:val="00F84EA4"/>
    <w:rsid w:val="00F85D39"/>
    <w:rsid w:val="00F85FC9"/>
    <w:rsid w:val="00F86787"/>
    <w:rsid w:val="00F867AF"/>
    <w:rsid w:val="00F877E0"/>
    <w:rsid w:val="00F906D2"/>
    <w:rsid w:val="00F930A1"/>
    <w:rsid w:val="00F934C1"/>
    <w:rsid w:val="00F9501F"/>
    <w:rsid w:val="00F95039"/>
    <w:rsid w:val="00FA07E6"/>
    <w:rsid w:val="00FA154A"/>
    <w:rsid w:val="00FA1744"/>
    <w:rsid w:val="00FA3024"/>
    <w:rsid w:val="00FA3D0D"/>
    <w:rsid w:val="00FA5B1C"/>
    <w:rsid w:val="00FA7840"/>
    <w:rsid w:val="00FB1B72"/>
    <w:rsid w:val="00FB468B"/>
    <w:rsid w:val="00FB747C"/>
    <w:rsid w:val="00FB75AE"/>
    <w:rsid w:val="00FB7DB5"/>
    <w:rsid w:val="00FC05B4"/>
    <w:rsid w:val="00FC203A"/>
    <w:rsid w:val="00FC3DB1"/>
    <w:rsid w:val="00FC5365"/>
    <w:rsid w:val="00FC5481"/>
    <w:rsid w:val="00FC7637"/>
    <w:rsid w:val="00FD0B9E"/>
    <w:rsid w:val="00FD0C3E"/>
    <w:rsid w:val="00FD2BDF"/>
    <w:rsid w:val="00FD3264"/>
    <w:rsid w:val="00FD4165"/>
    <w:rsid w:val="00FD7383"/>
    <w:rsid w:val="00FD7881"/>
    <w:rsid w:val="00FE067E"/>
    <w:rsid w:val="00FE1FD3"/>
    <w:rsid w:val="00FE24E3"/>
    <w:rsid w:val="00FE37CB"/>
    <w:rsid w:val="00FE4828"/>
    <w:rsid w:val="00FE5881"/>
    <w:rsid w:val="00FE5F54"/>
    <w:rsid w:val="00FE655A"/>
    <w:rsid w:val="00FE6B75"/>
    <w:rsid w:val="00FE7025"/>
    <w:rsid w:val="00FE7048"/>
    <w:rsid w:val="00FF0415"/>
    <w:rsid w:val="00FF1769"/>
    <w:rsid w:val="00FF18D0"/>
    <w:rsid w:val="00FF2512"/>
    <w:rsid w:val="00FF4051"/>
    <w:rsid w:val="00FF4251"/>
    <w:rsid w:val="00FF545F"/>
    <w:rsid w:val="00FF7C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qFormat="1"/>
    <w:lsdException w:name="footnote text" w:qFormat="1"/>
    <w:lsdException w:name="footer" w:uiPriority="99"/>
    <w:lsdException w:name="caption" w:uiPriority="35"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B24"/>
    <w:rPr>
      <w:sz w:val="24"/>
      <w:szCs w:val="24"/>
      <w:lang w:val="en-US" w:eastAsia="en-US"/>
    </w:rPr>
  </w:style>
  <w:style w:type="paragraph" w:styleId="Heading1">
    <w:name w:val="heading 1"/>
    <w:basedOn w:val="Normal"/>
    <w:next w:val="Normal"/>
    <w:link w:val="Heading1Char"/>
    <w:qFormat/>
    <w:rsid w:val="002E2B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2B24"/>
    <w:pPr>
      <w:keepNext/>
      <w:spacing w:before="240" w:after="60"/>
      <w:outlineLvl w:val="1"/>
    </w:pPr>
    <w:rPr>
      <w:rFonts w:ascii="Arial" w:hAnsi="Arial" w:cs="Arial"/>
      <w:b/>
      <w:bCs/>
      <w:i/>
      <w:iCs/>
      <w:sz w:val="28"/>
      <w:szCs w:val="28"/>
    </w:rPr>
  </w:style>
  <w:style w:type="paragraph" w:styleId="Heading3">
    <w:name w:val="heading 3"/>
    <w:aliases w:val="(text)"/>
    <w:basedOn w:val="Normal"/>
    <w:next w:val="Normal"/>
    <w:link w:val="Heading3Char"/>
    <w:qFormat/>
    <w:rsid w:val="002E2B24"/>
    <w:pPr>
      <w:keepNext/>
      <w:spacing w:before="240" w:after="60"/>
      <w:outlineLvl w:val="2"/>
    </w:pPr>
    <w:rPr>
      <w:rFonts w:ascii="Arial" w:hAnsi="Arial"/>
      <w:szCs w:val="20"/>
    </w:rPr>
  </w:style>
  <w:style w:type="paragraph" w:styleId="Heading4">
    <w:name w:val="heading 4"/>
    <w:basedOn w:val="Normal"/>
    <w:next w:val="Normal"/>
    <w:qFormat/>
    <w:rsid w:val="002E2B24"/>
    <w:pPr>
      <w:keepNext/>
      <w:jc w:val="both"/>
      <w:outlineLvl w:val="3"/>
    </w:pPr>
    <w:rPr>
      <w:rFonts w:ascii="Arial" w:hAnsi="Arial" w:cs="Arial"/>
      <w:b/>
      <w:sz w:val="18"/>
      <w:lang w:val="hr-BA"/>
    </w:rPr>
  </w:style>
  <w:style w:type="paragraph" w:styleId="Heading5">
    <w:name w:val="heading 5"/>
    <w:basedOn w:val="Normal"/>
    <w:next w:val="Normal"/>
    <w:qFormat/>
    <w:rsid w:val="002E2B24"/>
    <w:pPr>
      <w:keepNext/>
      <w:jc w:val="center"/>
      <w:outlineLvl w:val="4"/>
    </w:pPr>
    <w:rPr>
      <w:rFonts w:ascii="Arial" w:hAnsi="Arial" w:cs="Arial"/>
      <w:b/>
      <w:spacing w:val="-4"/>
      <w:sz w:val="16"/>
      <w:szCs w:val="16"/>
      <w:lang w:val="hr-BA"/>
    </w:rPr>
  </w:style>
  <w:style w:type="paragraph" w:styleId="Heading6">
    <w:name w:val="heading 6"/>
    <w:basedOn w:val="Normal"/>
    <w:next w:val="Normal"/>
    <w:qFormat/>
    <w:rsid w:val="002E2B24"/>
    <w:pPr>
      <w:keepNext/>
      <w:jc w:val="center"/>
      <w:outlineLvl w:val="5"/>
    </w:pPr>
    <w:rPr>
      <w:rFonts w:ascii="Arial" w:hAnsi="Arial" w:cs="Arial"/>
      <w:b/>
      <w:sz w:val="18"/>
      <w:lang w:val="hr-HR"/>
    </w:rPr>
  </w:style>
  <w:style w:type="paragraph" w:styleId="Heading7">
    <w:name w:val="heading 7"/>
    <w:basedOn w:val="Normal"/>
    <w:next w:val="Normal"/>
    <w:qFormat/>
    <w:rsid w:val="002E2B24"/>
    <w:pPr>
      <w:keepNext/>
      <w:outlineLvl w:val="6"/>
    </w:pPr>
    <w:rPr>
      <w:rFonts w:ascii="Arial" w:hAnsi="Arial" w:cs="Arial"/>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Char1 Char,Footnote Text Char Char,Char1 Char Char,Char Char Char Char,Char Char Char,Podrozdział,Footnote Text Blue,Footnote Text1,Char,fn,FOOTNOTES,single space,ADB,ft,Te, Char1 Char Char, Char Char Char Char, Char Char Char,Teg,f"/>
    <w:basedOn w:val="Normal"/>
    <w:link w:val="FootnoteTextChar"/>
    <w:unhideWhenUsed/>
    <w:qFormat/>
    <w:rsid w:val="002E2B24"/>
    <w:rPr>
      <w:rFonts w:ascii="Calibri" w:eastAsia="Calibri" w:hAnsi="Calibri"/>
      <w:sz w:val="20"/>
      <w:szCs w:val="20"/>
    </w:rPr>
  </w:style>
  <w:style w:type="paragraph" w:styleId="Header">
    <w:name w:val="header"/>
    <w:aliases w:val="h,Header/Footer,header odd,Hyphen,header"/>
    <w:basedOn w:val="Normal"/>
    <w:link w:val="HeaderChar"/>
    <w:rsid w:val="002E2B24"/>
    <w:pPr>
      <w:tabs>
        <w:tab w:val="center" w:pos="4320"/>
        <w:tab w:val="right" w:pos="8640"/>
      </w:tabs>
    </w:pPr>
    <w:rPr>
      <w:sz w:val="21"/>
      <w:szCs w:val="20"/>
      <w:lang w:val="en-GB"/>
    </w:rPr>
  </w:style>
  <w:style w:type="paragraph" w:customStyle="1" w:styleId="GeneralText">
    <w:name w:val="General Text"/>
    <w:basedOn w:val="Normal"/>
    <w:rsid w:val="002E2B24"/>
    <w:pPr>
      <w:spacing w:before="120" w:after="60"/>
      <w:jc w:val="both"/>
    </w:pPr>
    <w:rPr>
      <w:sz w:val="21"/>
      <w:szCs w:val="20"/>
      <w:lang w:val="en-GB"/>
    </w:rPr>
  </w:style>
  <w:style w:type="paragraph" w:customStyle="1" w:styleId="BulletAB1">
    <w:name w:val="Bullet AB1"/>
    <w:basedOn w:val="GeneralText"/>
    <w:rsid w:val="002E2B24"/>
    <w:pPr>
      <w:numPr>
        <w:numId w:val="1"/>
      </w:numPr>
      <w:tabs>
        <w:tab w:val="clear" w:pos="1080"/>
        <w:tab w:val="left" w:pos="1008"/>
      </w:tabs>
      <w:spacing w:before="0"/>
    </w:pPr>
  </w:style>
  <w:style w:type="paragraph" w:styleId="BalloonText">
    <w:name w:val="Balloon Text"/>
    <w:basedOn w:val="Normal"/>
    <w:semiHidden/>
    <w:rsid w:val="002E2B24"/>
    <w:rPr>
      <w:rFonts w:ascii="Tahoma" w:hAnsi="Tahoma" w:cs="Tahoma"/>
      <w:sz w:val="16"/>
      <w:szCs w:val="16"/>
      <w:lang w:val="en-GB"/>
    </w:rPr>
  </w:style>
  <w:style w:type="paragraph" w:styleId="Footer">
    <w:name w:val="footer"/>
    <w:basedOn w:val="Normal"/>
    <w:link w:val="FooterChar"/>
    <w:uiPriority w:val="99"/>
    <w:rsid w:val="002E2B24"/>
    <w:pPr>
      <w:tabs>
        <w:tab w:val="center" w:pos="4320"/>
        <w:tab w:val="right" w:pos="8640"/>
      </w:tabs>
    </w:pPr>
  </w:style>
  <w:style w:type="character" w:styleId="PageNumber">
    <w:name w:val="page number"/>
    <w:basedOn w:val="DefaultParagraphFont"/>
    <w:rsid w:val="002E2B24"/>
  </w:style>
  <w:style w:type="character" w:customStyle="1" w:styleId="EndnoteTextChar">
    <w:name w:val="Endnote Text Char"/>
    <w:link w:val="EndnoteText"/>
    <w:rsid w:val="002E2B24"/>
    <w:rPr>
      <w:rFonts w:ascii="Calibri" w:eastAsia="Calibri" w:hAnsi="Calibri"/>
      <w:lang w:val="en-US" w:eastAsia="en-US" w:bidi="ar-SA"/>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16 Point,Superscript 6 Point,fr"/>
    <w:link w:val="BVIfnrZchnCharZchnCharCharCharChar"/>
    <w:unhideWhenUsed/>
    <w:qFormat/>
    <w:rsid w:val="002E2B24"/>
    <w:rPr>
      <w:vertAlign w:val="superscript"/>
    </w:rPr>
  </w:style>
  <w:style w:type="paragraph" w:customStyle="1" w:styleId="Heading1-BFP">
    <w:name w:val="Heading 1 - BFP"/>
    <w:basedOn w:val="Heading1"/>
    <w:rsid w:val="002E2B24"/>
    <w:pPr>
      <w:spacing w:before="360" w:after="120"/>
      <w:jc w:val="center"/>
    </w:pPr>
    <w:rPr>
      <w:rFonts w:cs="Times New Roman"/>
      <w:kern w:val="28"/>
      <w:sz w:val="28"/>
      <w:szCs w:val="28"/>
      <w:lang w:val="hr-HR"/>
    </w:rPr>
  </w:style>
  <w:style w:type="paragraph" w:customStyle="1" w:styleId="Heading2-BFP">
    <w:name w:val="Heading 2 - BFP"/>
    <w:basedOn w:val="Heading2"/>
    <w:rsid w:val="002E2B24"/>
    <w:pPr>
      <w:keepNext w:val="0"/>
      <w:spacing w:before="120"/>
      <w:jc w:val="both"/>
    </w:pPr>
    <w:rPr>
      <w:i w:val="0"/>
      <w:iCs w:val="0"/>
      <w:sz w:val="22"/>
      <w:szCs w:val="22"/>
      <w:lang w:val="hr-HR"/>
    </w:rPr>
  </w:style>
  <w:style w:type="character" w:customStyle="1" w:styleId="Heading2-BFPChar">
    <w:name w:val="Heading 2 - BFP Char"/>
    <w:rsid w:val="002E2B24"/>
    <w:rPr>
      <w:rFonts w:ascii="Arial" w:hAnsi="Arial" w:cs="Arial"/>
      <w:b/>
      <w:bCs/>
      <w:sz w:val="22"/>
      <w:szCs w:val="22"/>
      <w:lang w:val="hr-HR" w:eastAsia="en-US" w:bidi="ar-SA"/>
    </w:rPr>
  </w:style>
  <w:style w:type="paragraph" w:styleId="BodyText3">
    <w:name w:val="Body Text 3"/>
    <w:basedOn w:val="Normal"/>
    <w:rsid w:val="002E2B24"/>
    <w:pPr>
      <w:ind w:right="-58"/>
      <w:jc w:val="both"/>
    </w:pPr>
    <w:rPr>
      <w:szCs w:val="20"/>
      <w:lang w:val="hr-HR"/>
    </w:rPr>
  </w:style>
  <w:style w:type="paragraph" w:styleId="BodyText">
    <w:name w:val="Body Text"/>
    <w:basedOn w:val="Normal"/>
    <w:rsid w:val="002E2B24"/>
    <w:pPr>
      <w:spacing w:after="120"/>
    </w:pPr>
  </w:style>
  <w:style w:type="paragraph" w:styleId="BodyText2">
    <w:name w:val="Body Text 2"/>
    <w:basedOn w:val="Normal"/>
    <w:rsid w:val="002E2B24"/>
    <w:pPr>
      <w:spacing w:after="120" w:line="480" w:lineRule="auto"/>
    </w:pPr>
  </w:style>
  <w:style w:type="paragraph" w:styleId="Title">
    <w:name w:val="Title"/>
    <w:basedOn w:val="Normal"/>
    <w:qFormat/>
    <w:rsid w:val="002E2B24"/>
    <w:pPr>
      <w:jc w:val="center"/>
    </w:pPr>
    <w:rPr>
      <w:b/>
      <w:sz w:val="28"/>
      <w:szCs w:val="20"/>
      <w:lang w:val="hr-HR" w:eastAsia="hr-HR"/>
    </w:rPr>
  </w:style>
  <w:style w:type="paragraph" w:styleId="Caption">
    <w:name w:val="caption"/>
    <w:basedOn w:val="Normal"/>
    <w:next w:val="Normal"/>
    <w:uiPriority w:val="35"/>
    <w:qFormat/>
    <w:rsid w:val="002E2B24"/>
    <w:pPr>
      <w:tabs>
        <w:tab w:val="left" w:pos="6585"/>
      </w:tabs>
      <w:jc w:val="center"/>
    </w:pPr>
    <w:rPr>
      <w:i/>
      <w:lang w:eastAsia="hr-HR"/>
    </w:rPr>
  </w:style>
  <w:style w:type="paragraph" w:styleId="BodyTextIndent">
    <w:name w:val="Body Text Indent"/>
    <w:basedOn w:val="Normal"/>
    <w:rsid w:val="002E2B24"/>
    <w:pPr>
      <w:ind w:firstLine="720"/>
      <w:jc w:val="both"/>
    </w:pPr>
    <w:rPr>
      <w:rFonts w:ascii="Arial" w:hAnsi="Arial" w:cs="Arial"/>
      <w:bCs/>
      <w:lang w:val="pl-PL"/>
    </w:rPr>
  </w:style>
  <w:style w:type="paragraph" w:styleId="BodyTextIndent2">
    <w:name w:val="Body Text Indent 2"/>
    <w:basedOn w:val="Normal"/>
    <w:rsid w:val="002E2B24"/>
    <w:pPr>
      <w:ind w:firstLine="720"/>
      <w:jc w:val="both"/>
    </w:pPr>
    <w:rPr>
      <w:rFonts w:ascii="Arial" w:hAnsi="Arial" w:cs="Arial"/>
      <w:color w:val="FF9900"/>
      <w:spacing w:val="-2"/>
    </w:rPr>
  </w:style>
  <w:style w:type="paragraph" w:styleId="ListParagraph">
    <w:name w:val="List Paragraph"/>
    <w:aliases w:val="References,Bullets,List Paragraph (numbered (a)),List_Paragraph,Multilevel para_II,Akapit z listą BS,Bullet1,Heading 21,Numbered List Paragraph,Numbered Paragraph,Main numbered paragraph,Colorful List - Accent 11,List Paragraph1,Liste 1"/>
    <w:basedOn w:val="Normal"/>
    <w:link w:val="ListParagraphChar"/>
    <w:uiPriority w:val="34"/>
    <w:qFormat/>
    <w:rsid w:val="00890EDB"/>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 Char1 Char,Char1 Char Char2,Footnote Text Char Char Char1,Char1 Char Char Char1,Char Char Char Char Char1,Char Char Char Char2,Podrozdział Char1,Footnote Text Blue Char,Footnote Text1 Char,Char Char1,fn Char,FOOTNOTES Char,ADB Char1"/>
    <w:link w:val="FootnoteText"/>
    <w:rsid w:val="00890EDB"/>
    <w:rPr>
      <w:rFonts w:ascii="Calibri" w:eastAsia="Calibri" w:hAnsi="Calibri"/>
      <w:lang w:val="en-US" w:eastAsia="en-US" w:bidi="ar-SA"/>
    </w:rPr>
  </w:style>
  <w:style w:type="character" w:customStyle="1" w:styleId="Char1CharChar1">
    <w:name w:val="Char1 Char Char1"/>
    <w:rsid w:val="00913B69"/>
    <w:rPr>
      <w:sz w:val="18"/>
      <w:lang w:val="hr-HR" w:eastAsia="en-US" w:bidi="ar-SA"/>
    </w:rPr>
  </w:style>
  <w:style w:type="character" w:styleId="Hyperlink">
    <w:name w:val="Hyperlink"/>
    <w:rsid w:val="002D7503"/>
    <w:rPr>
      <w:color w:val="0000FF"/>
      <w:u w:val="single"/>
    </w:rPr>
  </w:style>
  <w:style w:type="character" w:customStyle="1" w:styleId="FooterChar">
    <w:name w:val="Footer Char"/>
    <w:link w:val="Footer"/>
    <w:uiPriority w:val="99"/>
    <w:rsid w:val="00F327A0"/>
    <w:rPr>
      <w:sz w:val="24"/>
      <w:szCs w:val="24"/>
      <w:lang w:val="en-US" w:eastAsia="en-US"/>
    </w:rPr>
  </w:style>
  <w:style w:type="character" w:styleId="CommentReference">
    <w:name w:val="annotation reference"/>
    <w:semiHidden/>
    <w:rsid w:val="00D26A46"/>
    <w:rPr>
      <w:sz w:val="16"/>
      <w:szCs w:val="16"/>
    </w:rPr>
  </w:style>
  <w:style w:type="paragraph" w:styleId="CommentText">
    <w:name w:val="annotation text"/>
    <w:basedOn w:val="Normal"/>
    <w:semiHidden/>
    <w:rsid w:val="00D26A46"/>
    <w:rPr>
      <w:sz w:val="20"/>
      <w:szCs w:val="20"/>
    </w:rPr>
  </w:style>
  <w:style w:type="paragraph" w:styleId="CommentSubject">
    <w:name w:val="annotation subject"/>
    <w:basedOn w:val="CommentText"/>
    <w:next w:val="CommentText"/>
    <w:semiHidden/>
    <w:rsid w:val="00D26A46"/>
    <w:rPr>
      <w:b/>
      <w:bCs/>
    </w:rPr>
  </w:style>
  <w:style w:type="paragraph" w:styleId="NoSpacing">
    <w:name w:val="No Spacing"/>
    <w:link w:val="NoSpacingChar"/>
    <w:qFormat/>
    <w:rsid w:val="00A829A4"/>
    <w:rPr>
      <w:rFonts w:ascii="Calibri" w:hAnsi="Calibri"/>
      <w:sz w:val="22"/>
      <w:szCs w:val="22"/>
      <w:lang w:val="en-US" w:eastAsia="en-US"/>
    </w:rPr>
  </w:style>
  <w:style w:type="character" w:customStyle="1" w:styleId="NoSpacingChar">
    <w:name w:val="No Spacing Char"/>
    <w:link w:val="NoSpacing"/>
    <w:rsid w:val="00A829A4"/>
    <w:rPr>
      <w:rFonts w:ascii="Calibri" w:hAnsi="Calibri"/>
      <w:sz w:val="22"/>
      <w:szCs w:val="22"/>
      <w:lang w:val="en-US" w:eastAsia="en-US" w:bidi="ar-SA"/>
    </w:rPr>
  </w:style>
  <w:style w:type="character" w:customStyle="1" w:styleId="Heading3Char">
    <w:name w:val="Heading 3 Char"/>
    <w:aliases w:val="(text) Char"/>
    <w:link w:val="Heading3"/>
    <w:semiHidden/>
    <w:rsid w:val="00A829A4"/>
    <w:rPr>
      <w:rFonts w:ascii="Arial" w:hAnsi="Arial"/>
      <w:sz w:val="24"/>
      <w:lang w:val="en-US" w:eastAsia="en-US" w:bidi="ar-SA"/>
    </w:rPr>
  </w:style>
  <w:style w:type="paragraph" w:styleId="TOC1">
    <w:name w:val="toc 1"/>
    <w:basedOn w:val="Normal"/>
    <w:next w:val="Normal"/>
    <w:autoRedefine/>
    <w:qFormat/>
    <w:rsid w:val="00A54729"/>
    <w:pPr>
      <w:tabs>
        <w:tab w:val="left" w:pos="1440"/>
        <w:tab w:val="right" w:leader="dot" w:pos="8630"/>
      </w:tabs>
      <w:jc w:val="both"/>
    </w:pPr>
    <w:rPr>
      <w:b/>
      <w:noProof/>
      <w:spacing w:val="-4"/>
      <w:lang w:val="bs-Latn-BA"/>
    </w:rPr>
  </w:style>
  <w:style w:type="paragraph" w:styleId="EndnoteText">
    <w:name w:val="endnote text"/>
    <w:basedOn w:val="Normal"/>
    <w:link w:val="EndnoteTextChar"/>
    <w:unhideWhenUsed/>
    <w:rsid w:val="00770BDA"/>
    <w:pPr>
      <w:spacing w:after="200" w:line="276" w:lineRule="auto"/>
    </w:pPr>
    <w:rPr>
      <w:rFonts w:ascii="Calibri" w:eastAsia="Calibri" w:hAnsi="Calibri"/>
      <w:sz w:val="20"/>
      <w:szCs w:val="20"/>
    </w:rPr>
  </w:style>
  <w:style w:type="character" w:customStyle="1" w:styleId="Char1CharChar10">
    <w:name w:val="Char1 Char Char1"/>
    <w:aliases w:val="Footnote Text Char Char Char,Char1 Char Char Char,Char Char Char Char Char,Char Char Char Char1,Podrozdział Char,Footnote Text Blue Char2,Footnote Text1 Char2,Char Char,fn Char1,FOOTNOTES Char1,single space Char1,ADB Char,ft Char"/>
    <w:locked/>
    <w:rsid w:val="009329CB"/>
    <w:rPr>
      <w:sz w:val="18"/>
      <w:szCs w:val="18"/>
      <w:lang w:val="hr-HR"/>
    </w:rPr>
  </w:style>
  <w:style w:type="paragraph" w:customStyle="1" w:styleId="Default">
    <w:name w:val="Default"/>
    <w:rsid w:val="00751EBF"/>
    <w:pPr>
      <w:autoSpaceDE w:val="0"/>
      <w:autoSpaceDN w:val="0"/>
      <w:adjustRightInd w:val="0"/>
    </w:pPr>
    <w:rPr>
      <w:rFonts w:ascii="Arial" w:hAnsi="Arial" w:cs="Arial"/>
      <w:color w:val="000000"/>
      <w:sz w:val="24"/>
      <w:szCs w:val="24"/>
      <w:lang w:val="hr-HR" w:eastAsia="hr-HR"/>
    </w:rPr>
  </w:style>
  <w:style w:type="character" w:customStyle="1" w:styleId="Bodytext0">
    <w:name w:val="Body text_"/>
    <w:link w:val="Bodytext1"/>
    <w:locked/>
    <w:rsid w:val="00ED171F"/>
    <w:rPr>
      <w:rFonts w:ascii="Arial" w:hAnsi="Arial"/>
      <w:sz w:val="19"/>
      <w:szCs w:val="19"/>
      <w:lang w:bidi="ar-SA"/>
    </w:rPr>
  </w:style>
  <w:style w:type="paragraph" w:customStyle="1" w:styleId="Bodytext1">
    <w:name w:val="Body text1"/>
    <w:basedOn w:val="Normal"/>
    <w:link w:val="Bodytext0"/>
    <w:rsid w:val="00ED171F"/>
    <w:pPr>
      <w:widowControl w:val="0"/>
      <w:shd w:val="clear" w:color="auto" w:fill="FFFFFF"/>
      <w:spacing w:line="288" w:lineRule="exact"/>
      <w:ind w:hanging="2120"/>
      <w:jc w:val="both"/>
    </w:pPr>
    <w:rPr>
      <w:rFonts w:ascii="Arial" w:hAnsi="Arial"/>
      <w:sz w:val="19"/>
      <w:szCs w:val="19"/>
      <w:lang w:val="bs-Latn-BA" w:eastAsia="bs-Latn-BA"/>
    </w:rPr>
  </w:style>
  <w:style w:type="character" w:customStyle="1" w:styleId="Bodytext4">
    <w:name w:val="Body text"/>
    <w:rsid w:val="00466F1F"/>
    <w:rPr>
      <w:rFonts w:ascii="Arial" w:eastAsia="Times New Roman" w:hAnsi="Arial" w:cs="Arial"/>
      <w:color w:val="FFFFFF"/>
      <w:spacing w:val="0"/>
      <w:w w:val="100"/>
      <w:position w:val="0"/>
      <w:sz w:val="19"/>
      <w:szCs w:val="19"/>
      <w:u w:val="none"/>
      <w:lang w:val="hr-HR" w:bidi="ar-SA"/>
    </w:rPr>
  </w:style>
  <w:style w:type="character" w:customStyle="1" w:styleId="Heading50">
    <w:name w:val="Heading #5_"/>
    <w:link w:val="Heading51"/>
    <w:locked/>
    <w:rsid w:val="00466F1F"/>
    <w:rPr>
      <w:rFonts w:ascii="Arial" w:hAnsi="Arial"/>
      <w:sz w:val="19"/>
      <w:szCs w:val="19"/>
      <w:lang w:bidi="ar-SA"/>
    </w:rPr>
  </w:style>
  <w:style w:type="paragraph" w:customStyle="1" w:styleId="Heading51">
    <w:name w:val="Heading #5"/>
    <w:basedOn w:val="Normal"/>
    <w:link w:val="Heading50"/>
    <w:rsid w:val="00466F1F"/>
    <w:pPr>
      <w:widowControl w:val="0"/>
      <w:shd w:val="clear" w:color="auto" w:fill="FFFFFF"/>
      <w:spacing w:line="240" w:lineRule="atLeast"/>
      <w:ind w:hanging="720"/>
      <w:jc w:val="both"/>
      <w:outlineLvl w:val="4"/>
    </w:pPr>
    <w:rPr>
      <w:rFonts w:ascii="Arial" w:hAnsi="Arial"/>
      <w:sz w:val="19"/>
      <w:szCs w:val="19"/>
      <w:lang w:val="bs-Latn-BA" w:eastAsia="bs-Latn-BA"/>
    </w:rPr>
  </w:style>
  <w:style w:type="character" w:customStyle="1" w:styleId="Heading60">
    <w:name w:val="Heading #6_"/>
    <w:link w:val="Heading61"/>
    <w:locked/>
    <w:rsid w:val="00635948"/>
    <w:rPr>
      <w:rFonts w:ascii="Arial" w:hAnsi="Arial"/>
      <w:sz w:val="19"/>
      <w:szCs w:val="19"/>
      <w:lang w:bidi="ar-SA"/>
    </w:rPr>
  </w:style>
  <w:style w:type="paragraph" w:customStyle="1" w:styleId="Heading61">
    <w:name w:val="Heading #6"/>
    <w:basedOn w:val="Normal"/>
    <w:link w:val="Heading60"/>
    <w:rsid w:val="00635948"/>
    <w:pPr>
      <w:widowControl w:val="0"/>
      <w:shd w:val="clear" w:color="auto" w:fill="FFFFFF"/>
      <w:spacing w:line="240" w:lineRule="atLeast"/>
      <w:jc w:val="both"/>
      <w:outlineLvl w:val="5"/>
    </w:pPr>
    <w:rPr>
      <w:rFonts w:ascii="Arial" w:hAnsi="Arial"/>
      <w:sz w:val="19"/>
      <w:szCs w:val="19"/>
      <w:lang w:val="bs-Latn-BA" w:eastAsia="bs-Latn-BA"/>
    </w:rPr>
  </w:style>
  <w:style w:type="character" w:customStyle="1" w:styleId="Bodytext6">
    <w:name w:val="Body text6"/>
    <w:rsid w:val="00635948"/>
    <w:rPr>
      <w:rFonts w:ascii="Arial" w:eastAsia="Times New Roman" w:hAnsi="Arial" w:cs="Arial"/>
      <w:color w:val="000000"/>
      <w:spacing w:val="0"/>
      <w:w w:val="100"/>
      <w:position w:val="0"/>
      <w:sz w:val="19"/>
      <w:szCs w:val="19"/>
      <w:u w:val="none"/>
      <w:lang w:val="hr-HR" w:bidi="ar-SA"/>
    </w:rPr>
  </w:style>
  <w:style w:type="character" w:customStyle="1" w:styleId="Footnote">
    <w:name w:val="Footnote_"/>
    <w:link w:val="Footnote0"/>
    <w:rsid w:val="00BB01CC"/>
    <w:rPr>
      <w:rFonts w:ascii="Franklin Gothic Medium" w:eastAsia="Franklin Gothic Medium" w:hAnsi="Franklin Gothic Medium"/>
      <w:b/>
      <w:bCs/>
      <w:sz w:val="18"/>
      <w:szCs w:val="18"/>
      <w:lang w:bidi="ar-SA"/>
    </w:rPr>
  </w:style>
  <w:style w:type="paragraph" w:customStyle="1" w:styleId="Footnote0">
    <w:name w:val="Footnote"/>
    <w:basedOn w:val="Normal"/>
    <w:link w:val="Footnote"/>
    <w:rsid w:val="00BB01CC"/>
    <w:pPr>
      <w:widowControl w:val="0"/>
      <w:shd w:val="clear" w:color="auto" w:fill="FFFFFF"/>
      <w:spacing w:line="221" w:lineRule="exact"/>
      <w:jc w:val="both"/>
    </w:pPr>
    <w:rPr>
      <w:rFonts w:ascii="Franklin Gothic Medium" w:eastAsia="Franklin Gothic Medium" w:hAnsi="Franklin Gothic Medium"/>
      <w:b/>
      <w:bCs/>
      <w:sz w:val="18"/>
      <w:szCs w:val="18"/>
      <w:lang w:val="bs-Latn-BA" w:eastAsia="bs-Latn-BA"/>
    </w:rPr>
  </w:style>
  <w:style w:type="character" w:customStyle="1" w:styleId="Footnote2">
    <w:name w:val="Footnote (2)_"/>
    <w:link w:val="Footnote20"/>
    <w:rsid w:val="006C52BF"/>
    <w:rPr>
      <w:rFonts w:ascii="Calibri" w:eastAsia="Calibri" w:hAnsi="Calibri"/>
      <w:sz w:val="16"/>
      <w:szCs w:val="16"/>
      <w:lang w:bidi="ar-SA"/>
    </w:rPr>
  </w:style>
  <w:style w:type="paragraph" w:customStyle="1" w:styleId="Footnote20">
    <w:name w:val="Footnote (2)"/>
    <w:basedOn w:val="Normal"/>
    <w:link w:val="Footnote2"/>
    <w:rsid w:val="006C52BF"/>
    <w:pPr>
      <w:widowControl w:val="0"/>
      <w:shd w:val="clear" w:color="auto" w:fill="FFFFFF"/>
      <w:spacing w:line="226" w:lineRule="exact"/>
    </w:pPr>
    <w:rPr>
      <w:rFonts w:ascii="Calibri" w:eastAsia="Calibri" w:hAnsi="Calibri"/>
      <w:sz w:val="16"/>
      <w:szCs w:val="16"/>
      <w:lang w:val="bs-Latn-BA" w:eastAsia="bs-Latn-BA"/>
    </w:rPr>
  </w:style>
  <w:style w:type="character" w:customStyle="1" w:styleId="Heading30">
    <w:name w:val="Heading #3_"/>
    <w:link w:val="Heading31"/>
    <w:rsid w:val="00EF700F"/>
    <w:rPr>
      <w:rFonts w:ascii="Arial" w:hAnsi="Arial"/>
      <w:b/>
      <w:bCs/>
      <w:sz w:val="23"/>
      <w:szCs w:val="23"/>
      <w:lang w:bidi="ar-SA"/>
    </w:rPr>
  </w:style>
  <w:style w:type="character" w:customStyle="1" w:styleId="Heading32">
    <w:name w:val="Heading #3"/>
    <w:basedOn w:val="Heading30"/>
    <w:rsid w:val="00EF700F"/>
  </w:style>
  <w:style w:type="character" w:customStyle="1" w:styleId="Tablecaption">
    <w:name w:val="Table caption_"/>
    <w:link w:val="Tablecaption0"/>
    <w:rsid w:val="00EF700F"/>
    <w:rPr>
      <w:rFonts w:ascii="Arial" w:hAnsi="Arial"/>
      <w:i/>
      <w:iCs/>
      <w:lang w:bidi="ar-SA"/>
    </w:rPr>
  </w:style>
  <w:style w:type="character" w:customStyle="1" w:styleId="Bodytext10">
    <w:name w:val="Body text + 10"/>
    <w:aliases w:val="5 pt,Bold"/>
    <w:rsid w:val="00EF700F"/>
    <w:rPr>
      <w:rFonts w:ascii="Arial" w:hAnsi="Arial" w:cs="Arial"/>
      <w:b/>
      <w:bCs/>
      <w:sz w:val="21"/>
      <w:szCs w:val="21"/>
      <w:u w:val="none"/>
      <w:lang w:bidi="ar-SA"/>
    </w:rPr>
  </w:style>
  <w:style w:type="paragraph" w:customStyle="1" w:styleId="Heading31">
    <w:name w:val="Heading #31"/>
    <w:basedOn w:val="Normal"/>
    <w:link w:val="Heading30"/>
    <w:rsid w:val="00EF700F"/>
    <w:pPr>
      <w:widowControl w:val="0"/>
      <w:shd w:val="clear" w:color="auto" w:fill="FFFFFF"/>
      <w:spacing w:before="60" w:after="60" w:line="322" w:lineRule="exact"/>
      <w:jc w:val="both"/>
      <w:outlineLvl w:val="2"/>
    </w:pPr>
    <w:rPr>
      <w:rFonts w:ascii="Arial" w:hAnsi="Arial"/>
      <w:b/>
      <w:bCs/>
      <w:sz w:val="23"/>
      <w:szCs w:val="23"/>
      <w:lang w:val="bs-Latn-BA" w:eastAsia="bs-Latn-BA"/>
    </w:rPr>
  </w:style>
  <w:style w:type="paragraph" w:customStyle="1" w:styleId="Tablecaption0">
    <w:name w:val="Table caption"/>
    <w:basedOn w:val="Normal"/>
    <w:link w:val="Tablecaption"/>
    <w:rsid w:val="00EF700F"/>
    <w:pPr>
      <w:widowControl w:val="0"/>
      <w:shd w:val="clear" w:color="auto" w:fill="FFFFFF"/>
      <w:spacing w:line="240" w:lineRule="atLeast"/>
    </w:pPr>
    <w:rPr>
      <w:rFonts w:ascii="Arial" w:hAnsi="Arial"/>
      <w:i/>
      <w:iCs/>
      <w:sz w:val="20"/>
      <w:szCs w:val="20"/>
      <w:lang w:val="bs-Latn-BA" w:eastAsia="bs-Latn-BA"/>
    </w:rPr>
  </w:style>
  <w:style w:type="character" w:customStyle="1" w:styleId="Tablecaption2">
    <w:name w:val="Table caption (2)_"/>
    <w:link w:val="Tablecaption21"/>
    <w:rsid w:val="001D53E7"/>
    <w:rPr>
      <w:rFonts w:ascii="Arial" w:hAnsi="Arial"/>
      <w:lang w:bidi="ar-SA"/>
    </w:rPr>
  </w:style>
  <w:style w:type="character" w:customStyle="1" w:styleId="Bodytext7">
    <w:name w:val="Body text + 7"/>
    <w:aliases w:val="5 pt7"/>
    <w:rsid w:val="001D53E7"/>
    <w:rPr>
      <w:rFonts w:ascii="Arial" w:hAnsi="Arial" w:cs="Arial"/>
      <w:sz w:val="15"/>
      <w:szCs w:val="15"/>
      <w:u w:val="none"/>
      <w:lang w:bidi="ar-SA"/>
    </w:rPr>
  </w:style>
  <w:style w:type="paragraph" w:customStyle="1" w:styleId="Tablecaption21">
    <w:name w:val="Table caption (2)1"/>
    <w:basedOn w:val="Normal"/>
    <w:link w:val="Tablecaption2"/>
    <w:rsid w:val="001D53E7"/>
    <w:pPr>
      <w:widowControl w:val="0"/>
      <w:shd w:val="clear" w:color="auto" w:fill="FFFFFF"/>
      <w:spacing w:line="240" w:lineRule="atLeast"/>
    </w:pPr>
    <w:rPr>
      <w:rFonts w:ascii="Arial" w:hAnsi="Arial"/>
      <w:sz w:val="20"/>
      <w:szCs w:val="20"/>
      <w:lang w:val="bs-Latn-BA" w:eastAsia="bs-Latn-BA"/>
    </w:rPr>
  </w:style>
  <w:style w:type="character" w:customStyle="1" w:styleId="BodytextItalic">
    <w:name w:val="Body text + Italic"/>
    <w:rsid w:val="0098171D"/>
    <w:rPr>
      <w:rFonts w:ascii="Calibri" w:hAnsi="Calibri" w:cs="Calibri"/>
      <w:i/>
      <w:iCs/>
      <w:sz w:val="21"/>
      <w:szCs w:val="21"/>
      <w:u w:val="none"/>
      <w:lang w:bidi="ar-SA"/>
    </w:rPr>
  </w:style>
  <w:style w:type="character" w:customStyle="1" w:styleId="Bodytext20">
    <w:name w:val="Body text (2)_"/>
    <w:link w:val="Bodytext21"/>
    <w:rsid w:val="004A1859"/>
    <w:rPr>
      <w:rFonts w:ascii="Arial" w:hAnsi="Arial"/>
      <w:i/>
      <w:iCs/>
      <w:lang w:bidi="ar-SA"/>
    </w:rPr>
  </w:style>
  <w:style w:type="paragraph" w:customStyle="1" w:styleId="Bodytext21">
    <w:name w:val="Body text (2)"/>
    <w:basedOn w:val="Normal"/>
    <w:link w:val="Bodytext20"/>
    <w:rsid w:val="004A1859"/>
    <w:pPr>
      <w:widowControl w:val="0"/>
      <w:shd w:val="clear" w:color="auto" w:fill="FFFFFF"/>
      <w:spacing w:after="300" w:line="240" w:lineRule="atLeast"/>
      <w:jc w:val="both"/>
    </w:pPr>
    <w:rPr>
      <w:rFonts w:ascii="Arial" w:hAnsi="Arial"/>
      <w:i/>
      <w:iCs/>
      <w:sz w:val="20"/>
      <w:szCs w:val="20"/>
      <w:lang w:val="bs-Latn-BA" w:eastAsia="bs-Latn-BA"/>
    </w:rPr>
  </w:style>
  <w:style w:type="character" w:customStyle="1" w:styleId="Bodytext9">
    <w:name w:val="Body text (9)_"/>
    <w:link w:val="Bodytext90"/>
    <w:rsid w:val="000819CE"/>
    <w:rPr>
      <w:rFonts w:ascii="Calibri" w:eastAsia="Calibri" w:hAnsi="Calibri" w:cs="Calibri"/>
      <w:i/>
      <w:iCs/>
      <w:shd w:val="clear" w:color="auto" w:fill="FFFFFF"/>
    </w:rPr>
  </w:style>
  <w:style w:type="paragraph" w:customStyle="1" w:styleId="Bodytext90">
    <w:name w:val="Body text (9)"/>
    <w:basedOn w:val="Normal"/>
    <w:link w:val="Bodytext9"/>
    <w:rsid w:val="000819CE"/>
    <w:pPr>
      <w:widowControl w:val="0"/>
      <w:shd w:val="clear" w:color="auto" w:fill="FFFFFF"/>
      <w:spacing w:before="360" w:line="264" w:lineRule="exact"/>
      <w:ind w:hanging="420"/>
    </w:pPr>
    <w:rPr>
      <w:rFonts w:ascii="Calibri" w:eastAsia="Calibri" w:hAnsi="Calibri" w:cs="Calibri"/>
      <w:i/>
      <w:iCs/>
      <w:sz w:val="20"/>
      <w:szCs w:val="20"/>
      <w:lang w:val="bs-Latn-BA" w:eastAsia="bs-Latn-BA"/>
    </w:rPr>
  </w:style>
  <w:style w:type="character" w:customStyle="1" w:styleId="BodytextGeorgia95ptSpacing1pt">
    <w:name w:val="Body text + Georgia;9;5 pt;Spacing 1 pt"/>
    <w:rsid w:val="006043EC"/>
    <w:rPr>
      <w:rFonts w:ascii="Georgia" w:eastAsia="Georgia" w:hAnsi="Georgia" w:cs="Georgia"/>
      <w:b w:val="0"/>
      <w:bCs w:val="0"/>
      <w:i w:val="0"/>
      <w:iCs w:val="0"/>
      <w:smallCaps w:val="0"/>
      <w:strike w:val="0"/>
      <w:color w:val="000000"/>
      <w:spacing w:val="20"/>
      <w:w w:val="100"/>
      <w:position w:val="0"/>
      <w:sz w:val="19"/>
      <w:szCs w:val="19"/>
      <w:u w:val="none"/>
      <w:lang w:val="hr-HR" w:bidi="ar-SA"/>
    </w:rPr>
  </w:style>
  <w:style w:type="character" w:customStyle="1" w:styleId="BodytextBold">
    <w:name w:val="Body text + Bold"/>
    <w:rsid w:val="006043EC"/>
    <w:rPr>
      <w:rFonts w:ascii="Verdana" w:eastAsia="Verdana" w:hAnsi="Verdana" w:cs="Verdana"/>
      <w:b/>
      <w:bCs/>
      <w:i w:val="0"/>
      <w:iCs w:val="0"/>
      <w:smallCaps w:val="0"/>
      <w:strike w:val="0"/>
      <w:color w:val="000000"/>
      <w:spacing w:val="0"/>
      <w:w w:val="100"/>
      <w:position w:val="0"/>
      <w:sz w:val="17"/>
      <w:szCs w:val="17"/>
      <w:u w:val="none"/>
      <w:lang w:val="hr-HR" w:bidi="ar-SA"/>
    </w:rPr>
  </w:style>
  <w:style w:type="character" w:customStyle="1" w:styleId="FootnoteGeorgia95ptSpacing1pt">
    <w:name w:val="Footnote + Georgia;9;5 pt;Spacing 1 pt"/>
    <w:rsid w:val="009C7BEC"/>
    <w:rPr>
      <w:rFonts w:ascii="Georgia" w:eastAsia="Georgia" w:hAnsi="Georgia" w:cs="Georgia"/>
      <w:b/>
      <w:bCs/>
      <w:i w:val="0"/>
      <w:iCs w:val="0"/>
      <w:smallCaps w:val="0"/>
      <w:strike w:val="0"/>
      <w:color w:val="000000"/>
      <w:spacing w:val="20"/>
      <w:w w:val="100"/>
      <w:position w:val="0"/>
      <w:sz w:val="19"/>
      <w:szCs w:val="19"/>
      <w:u w:val="none"/>
      <w:lang w:val="hr-HR" w:bidi="ar-SA"/>
    </w:rPr>
  </w:style>
  <w:style w:type="character" w:customStyle="1" w:styleId="Bodytext40">
    <w:name w:val="Body text (4)_"/>
    <w:rsid w:val="009C7BEC"/>
    <w:rPr>
      <w:rFonts w:ascii="Verdana" w:eastAsia="Verdana" w:hAnsi="Verdana" w:cs="Verdana"/>
      <w:b w:val="0"/>
      <w:bCs w:val="0"/>
      <w:i/>
      <w:iCs/>
      <w:smallCaps w:val="0"/>
      <w:strike w:val="0"/>
      <w:sz w:val="17"/>
      <w:szCs w:val="17"/>
      <w:u w:val="none"/>
    </w:rPr>
  </w:style>
  <w:style w:type="character" w:customStyle="1" w:styleId="Bodytext41">
    <w:name w:val="Body text (4)"/>
    <w:rsid w:val="009C7BEC"/>
    <w:rPr>
      <w:rFonts w:ascii="Verdana" w:eastAsia="Verdana" w:hAnsi="Verdana" w:cs="Verdana"/>
      <w:b w:val="0"/>
      <w:bCs w:val="0"/>
      <w:i/>
      <w:iCs/>
      <w:smallCaps w:val="0"/>
      <w:strike w:val="0"/>
      <w:color w:val="000000"/>
      <w:spacing w:val="0"/>
      <w:w w:val="100"/>
      <w:position w:val="0"/>
      <w:sz w:val="17"/>
      <w:szCs w:val="17"/>
      <w:u w:val="none"/>
      <w:lang w:val="hr-HR"/>
    </w:rPr>
  </w:style>
  <w:style w:type="character" w:customStyle="1" w:styleId="Bodytext14">
    <w:name w:val="Body text (14)_"/>
    <w:rsid w:val="009C7BEC"/>
    <w:rPr>
      <w:rFonts w:ascii="Arial Narrow" w:eastAsia="Arial Narrow" w:hAnsi="Arial Narrow" w:cs="Arial Narrow"/>
      <w:b w:val="0"/>
      <w:bCs w:val="0"/>
      <w:i w:val="0"/>
      <w:iCs w:val="0"/>
      <w:smallCaps w:val="0"/>
      <w:strike w:val="0"/>
      <w:sz w:val="18"/>
      <w:szCs w:val="18"/>
      <w:u w:val="none"/>
    </w:rPr>
  </w:style>
  <w:style w:type="character" w:customStyle="1" w:styleId="Bodytext140">
    <w:name w:val="Body text (14)"/>
    <w:rsid w:val="009C7BEC"/>
    <w:rPr>
      <w:rFonts w:ascii="Arial Narrow" w:eastAsia="Arial Narrow" w:hAnsi="Arial Narrow" w:cs="Arial Narrow"/>
      <w:b w:val="0"/>
      <w:bCs w:val="0"/>
      <w:i w:val="0"/>
      <w:iCs w:val="0"/>
      <w:smallCaps w:val="0"/>
      <w:strike w:val="0"/>
      <w:color w:val="000000"/>
      <w:spacing w:val="0"/>
      <w:w w:val="100"/>
      <w:position w:val="0"/>
      <w:sz w:val="18"/>
      <w:szCs w:val="18"/>
      <w:u w:val="none"/>
      <w:lang w:val="hr-HR"/>
    </w:rPr>
  </w:style>
  <w:style w:type="character" w:customStyle="1" w:styleId="Headerorfooter">
    <w:name w:val="Header or footer_"/>
    <w:link w:val="Headerorfooter0"/>
    <w:rsid w:val="009C7BEC"/>
    <w:rPr>
      <w:rFonts w:ascii="Verdana" w:eastAsia="Verdana" w:hAnsi="Verdana" w:cs="Verdana"/>
      <w:sz w:val="13"/>
      <w:szCs w:val="13"/>
      <w:shd w:val="clear" w:color="auto" w:fill="FFFFFF"/>
    </w:rPr>
  </w:style>
  <w:style w:type="character" w:customStyle="1" w:styleId="HeaderorfooterArial9pt">
    <w:name w:val="Header or footer + Arial;9 pt"/>
    <w:rsid w:val="009C7BEC"/>
    <w:rPr>
      <w:rFonts w:ascii="Arial" w:eastAsia="Arial" w:hAnsi="Arial" w:cs="Arial"/>
      <w:color w:val="FFFFFF"/>
      <w:spacing w:val="0"/>
      <w:w w:val="100"/>
      <w:position w:val="0"/>
      <w:sz w:val="18"/>
      <w:szCs w:val="18"/>
      <w:shd w:val="clear" w:color="auto" w:fill="FFFFFF"/>
      <w:lang w:val="hr-HR"/>
    </w:rPr>
  </w:style>
  <w:style w:type="paragraph" w:customStyle="1" w:styleId="Headerorfooter0">
    <w:name w:val="Header or footer"/>
    <w:basedOn w:val="Normal"/>
    <w:link w:val="Headerorfooter"/>
    <w:rsid w:val="009C7BEC"/>
    <w:pPr>
      <w:widowControl w:val="0"/>
      <w:shd w:val="clear" w:color="auto" w:fill="FFFFFF"/>
      <w:spacing w:line="187" w:lineRule="exact"/>
    </w:pPr>
    <w:rPr>
      <w:rFonts w:ascii="Verdana" w:eastAsia="Verdana" w:hAnsi="Verdana" w:cs="Verdana"/>
      <w:sz w:val="13"/>
      <w:szCs w:val="13"/>
      <w:lang w:val="bs-Latn-BA" w:eastAsia="bs-Latn-BA"/>
    </w:rPr>
  </w:style>
  <w:style w:type="character" w:customStyle="1" w:styleId="HeaderorfooterCalibri105ptBold">
    <w:name w:val="Header or footer + Calibri;10;5 pt;Bold"/>
    <w:rsid w:val="00CF0A22"/>
    <w:rPr>
      <w:rFonts w:ascii="Calibri" w:eastAsia="Calibri" w:hAnsi="Calibri" w:cs="Calibri"/>
      <w:b/>
      <w:bCs/>
      <w:i w:val="0"/>
      <w:iCs w:val="0"/>
      <w:smallCaps w:val="0"/>
      <w:strike w:val="0"/>
      <w:color w:val="000000"/>
      <w:spacing w:val="0"/>
      <w:w w:val="100"/>
      <w:position w:val="0"/>
      <w:sz w:val="21"/>
      <w:szCs w:val="21"/>
      <w:u w:val="none"/>
      <w:shd w:val="clear" w:color="auto" w:fill="FFFFFF"/>
      <w:lang w:val="hr-HR"/>
    </w:rPr>
  </w:style>
  <w:style w:type="character" w:customStyle="1" w:styleId="HeaderorfooterCalibri75ptItalic">
    <w:name w:val="Header or footer + Calibri;7;5 pt;Italic"/>
    <w:rsid w:val="00CF0A22"/>
    <w:rPr>
      <w:rFonts w:ascii="Calibri" w:eastAsia="Calibri" w:hAnsi="Calibri" w:cs="Calibri"/>
      <w:b w:val="0"/>
      <w:bCs w:val="0"/>
      <w:i/>
      <w:iCs/>
      <w:smallCaps w:val="0"/>
      <w:strike w:val="0"/>
      <w:color w:val="000000"/>
      <w:spacing w:val="0"/>
      <w:w w:val="100"/>
      <w:position w:val="0"/>
      <w:sz w:val="15"/>
      <w:szCs w:val="15"/>
      <w:u w:val="none"/>
      <w:shd w:val="clear" w:color="auto" w:fill="FFFFFF"/>
    </w:rPr>
  </w:style>
  <w:style w:type="character" w:customStyle="1" w:styleId="BodytextExact">
    <w:name w:val="Body text Exact"/>
    <w:rsid w:val="00B302F0"/>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Heading40">
    <w:name w:val="Heading #4_"/>
    <w:rsid w:val="00C57EC9"/>
    <w:rPr>
      <w:rFonts w:ascii="Tahoma" w:eastAsia="Tahoma" w:hAnsi="Tahoma" w:cs="Tahoma"/>
      <w:b w:val="0"/>
      <w:bCs w:val="0"/>
      <w:i w:val="0"/>
      <w:iCs w:val="0"/>
      <w:smallCaps w:val="0"/>
      <w:strike w:val="0"/>
      <w:sz w:val="19"/>
      <w:szCs w:val="19"/>
      <w:u w:val="none"/>
    </w:rPr>
  </w:style>
  <w:style w:type="character" w:customStyle="1" w:styleId="Heading41">
    <w:name w:val="Heading #4"/>
    <w:rsid w:val="00C57EC9"/>
    <w:rPr>
      <w:rFonts w:ascii="Tahoma" w:eastAsia="Tahoma" w:hAnsi="Tahoma" w:cs="Tahoma"/>
      <w:b w:val="0"/>
      <w:bCs w:val="0"/>
      <w:i w:val="0"/>
      <w:iCs w:val="0"/>
      <w:smallCaps w:val="0"/>
      <w:strike w:val="0"/>
      <w:color w:val="000000"/>
      <w:spacing w:val="0"/>
      <w:w w:val="100"/>
      <w:position w:val="0"/>
      <w:sz w:val="19"/>
      <w:szCs w:val="19"/>
      <w:u w:val="none"/>
      <w:lang w:val="hr-HR"/>
    </w:rPr>
  </w:style>
  <w:style w:type="character" w:customStyle="1" w:styleId="Bodytext30">
    <w:name w:val="Body text (3)_"/>
    <w:rsid w:val="00A3655A"/>
    <w:rPr>
      <w:rFonts w:ascii="Franklin Gothic Heavy" w:eastAsia="Franklin Gothic Heavy" w:hAnsi="Franklin Gothic Heavy" w:cs="Franklin Gothic Heavy"/>
      <w:b w:val="0"/>
      <w:bCs w:val="0"/>
      <w:i/>
      <w:iCs/>
      <w:smallCaps w:val="0"/>
      <w:strike w:val="0"/>
      <w:sz w:val="20"/>
      <w:szCs w:val="20"/>
      <w:u w:val="none"/>
    </w:rPr>
  </w:style>
  <w:style w:type="character" w:customStyle="1" w:styleId="Bodytext31">
    <w:name w:val="Body text (3)"/>
    <w:rsid w:val="00A3655A"/>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hr-HR"/>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rsid w:val="00F26199"/>
    <w:pPr>
      <w:spacing w:after="160" w:line="240" w:lineRule="exact"/>
    </w:pPr>
    <w:rPr>
      <w:sz w:val="20"/>
      <w:szCs w:val="20"/>
      <w:vertAlign w:val="superscript"/>
      <w:lang w:val="bs-Latn-BA" w:eastAsia="bs-Latn-BA"/>
    </w:rPr>
  </w:style>
  <w:style w:type="character" w:customStyle="1" w:styleId="ListParagraphChar">
    <w:name w:val="List Paragraph Char"/>
    <w:aliases w:val="References Char,Bullets Char,List Paragraph (numbered (a)) Char,List_Paragraph Char,Multilevel para_II Char,Akapit z listą BS Char,Bullet1 Char,Heading 21 Char,Numbered List Paragraph Char,Numbered Paragraph Char,List Paragraph1 Char"/>
    <w:link w:val="ListParagraph"/>
    <w:uiPriority w:val="34"/>
    <w:rsid w:val="00AA19AD"/>
    <w:rPr>
      <w:rFonts w:ascii="Calibri" w:eastAsia="Calibri" w:hAnsi="Calibri"/>
      <w:sz w:val="22"/>
      <w:szCs w:val="22"/>
      <w:lang w:val="en-US" w:eastAsia="en-US"/>
    </w:rPr>
  </w:style>
  <w:style w:type="paragraph" w:customStyle="1" w:styleId="BodyText11">
    <w:name w:val="Body Text1"/>
    <w:basedOn w:val="Normal"/>
    <w:rsid w:val="00C75E9A"/>
    <w:pPr>
      <w:widowControl w:val="0"/>
      <w:shd w:val="clear" w:color="auto" w:fill="FFFFFF"/>
      <w:spacing w:after="240" w:line="274" w:lineRule="exact"/>
      <w:jc w:val="both"/>
    </w:pPr>
    <w:rPr>
      <w:color w:val="000000"/>
      <w:sz w:val="22"/>
      <w:szCs w:val="22"/>
      <w:lang w:val="hr-HR" w:eastAsia="bs-Latn-BA"/>
    </w:rPr>
  </w:style>
  <w:style w:type="character" w:customStyle="1" w:styleId="BodyText32">
    <w:name w:val="Body Text3"/>
    <w:rsid w:val="00BD4525"/>
    <w:rPr>
      <w:rFonts w:ascii="Verdana" w:eastAsia="Verdana" w:hAnsi="Verdana" w:cs="Verdana"/>
      <w:b w:val="0"/>
      <w:bCs w:val="0"/>
      <w:i w:val="0"/>
      <w:iCs w:val="0"/>
      <w:smallCaps w:val="0"/>
      <w:strike w:val="0"/>
      <w:color w:val="000000"/>
      <w:spacing w:val="0"/>
      <w:w w:val="100"/>
      <w:position w:val="0"/>
      <w:sz w:val="18"/>
      <w:szCs w:val="18"/>
      <w:u w:val="none"/>
      <w:lang w:val="hr-HR" w:bidi="ar-SA"/>
    </w:rPr>
  </w:style>
  <w:style w:type="paragraph" w:customStyle="1" w:styleId="BodyText60">
    <w:name w:val="Body Text6"/>
    <w:basedOn w:val="Normal"/>
    <w:rsid w:val="00BD4525"/>
    <w:pPr>
      <w:widowControl w:val="0"/>
      <w:shd w:val="clear" w:color="auto" w:fill="FFFFFF"/>
      <w:spacing w:line="210" w:lineRule="exact"/>
      <w:ind w:hanging="360"/>
      <w:jc w:val="center"/>
    </w:pPr>
    <w:rPr>
      <w:rFonts w:ascii="Verdana" w:eastAsia="Verdana" w:hAnsi="Verdana" w:cs="Verdana"/>
      <w:color w:val="000000"/>
      <w:sz w:val="18"/>
      <w:szCs w:val="18"/>
      <w:lang w:val="hr-HR" w:eastAsia="bs-Latn-BA"/>
    </w:rPr>
  </w:style>
  <w:style w:type="character" w:customStyle="1" w:styleId="Bodytext4Exact">
    <w:name w:val="Body text (4) Exact"/>
    <w:rsid w:val="000E1588"/>
    <w:rPr>
      <w:rFonts w:ascii="Times New Roman" w:eastAsia="Times New Roman" w:hAnsi="Times New Roman" w:cs="Times New Roman"/>
      <w:b/>
      <w:bCs/>
      <w:i w:val="0"/>
      <w:iCs w:val="0"/>
      <w:smallCaps w:val="0"/>
      <w:strike w:val="0"/>
      <w:sz w:val="16"/>
      <w:szCs w:val="16"/>
      <w:u w:val="none"/>
    </w:rPr>
  </w:style>
  <w:style w:type="paragraph" w:customStyle="1" w:styleId="BodyText42">
    <w:name w:val="Body Text4"/>
    <w:basedOn w:val="Normal"/>
    <w:rsid w:val="009474A4"/>
    <w:pPr>
      <w:widowControl w:val="0"/>
      <w:shd w:val="clear" w:color="auto" w:fill="FFFFFF"/>
      <w:spacing w:before="300" w:line="259" w:lineRule="exact"/>
      <w:ind w:hanging="880"/>
    </w:pPr>
    <w:rPr>
      <w:color w:val="000000"/>
      <w:sz w:val="21"/>
      <w:szCs w:val="21"/>
      <w:lang w:val="hr-HR" w:eastAsia="bs-Latn-BA"/>
    </w:rPr>
  </w:style>
  <w:style w:type="character" w:customStyle="1" w:styleId="BodytextBoldItalic">
    <w:name w:val="Body text + Bold;Italic"/>
    <w:rsid w:val="00C858CA"/>
    <w:rPr>
      <w:rFonts w:ascii="Times New Roman" w:eastAsia="Times New Roman" w:hAnsi="Times New Roman" w:cs="Times New Roman"/>
      <w:b/>
      <w:bCs/>
      <w:i/>
      <w:iCs/>
      <w:smallCaps w:val="0"/>
      <w:strike w:val="0"/>
      <w:color w:val="000000"/>
      <w:spacing w:val="0"/>
      <w:w w:val="100"/>
      <w:position w:val="0"/>
      <w:sz w:val="21"/>
      <w:szCs w:val="21"/>
      <w:u w:val="none"/>
      <w:lang w:val="hr-HR" w:bidi="ar-SA"/>
    </w:rPr>
  </w:style>
  <w:style w:type="table" w:styleId="TableGrid">
    <w:name w:val="Table Grid"/>
    <w:basedOn w:val="TableNormal"/>
    <w:rsid w:val="00A0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h Char,Header/Footer Char,header odd Char,Hyphen Char,header Char"/>
    <w:link w:val="Header"/>
    <w:uiPriority w:val="99"/>
    <w:rsid w:val="00B55021"/>
    <w:rPr>
      <w:sz w:val="21"/>
      <w:lang w:val="en-GB" w:eastAsia="en-US"/>
    </w:rPr>
  </w:style>
  <w:style w:type="character" w:styleId="EndnoteReference">
    <w:name w:val="endnote reference"/>
    <w:rsid w:val="001A4123"/>
    <w:rPr>
      <w:vertAlign w:val="superscript"/>
    </w:rPr>
  </w:style>
  <w:style w:type="paragraph" w:customStyle="1" w:styleId="BodyText5">
    <w:name w:val="Body Text5"/>
    <w:basedOn w:val="Normal"/>
    <w:rsid w:val="00DD5DC6"/>
    <w:pPr>
      <w:widowControl w:val="0"/>
      <w:shd w:val="clear" w:color="auto" w:fill="FFFFFF"/>
      <w:spacing w:before="300" w:after="60" w:line="259" w:lineRule="exact"/>
      <w:ind w:hanging="340"/>
      <w:jc w:val="both"/>
    </w:pPr>
    <w:rPr>
      <w:color w:val="000000"/>
      <w:sz w:val="22"/>
      <w:szCs w:val="22"/>
      <w:lang w:val="hr-HR" w:eastAsia="bs-Latn-BA"/>
    </w:rPr>
  </w:style>
  <w:style w:type="paragraph" w:customStyle="1" w:styleId="Style1">
    <w:name w:val="Style1"/>
    <w:basedOn w:val="Normal"/>
    <w:link w:val="Style1Char"/>
    <w:qFormat/>
    <w:rsid w:val="00DD5DC6"/>
    <w:pPr>
      <w:spacing w:after="160" w:line="259" w:lineRule="auto"/>
      <w:jc w:val="both"/>
    </w:pPr>
    <w:rPr>
      <w:rFonts w:eastAsia="Calibri"/>
      <w:lang w:val="hr-BA"/>
    </w:rPr>
  </w:style>
  <w:style w:type="character" w:customStyle="1" w:styleId="Style1Char">
    <w:name w:val="Style1 Char"/>
    <w:link w:val="Style1"/>
    <w:rsid w:val="00DD5DC6"/>
    <w:rPr>
      <w:rFonts w:eastAsia="Calibri"/>
      <w:sz w:val="24"/>
      <w:szCs w:val="24"/>
      <w:lang w:val="hr-BA" w:eastAsia="en-US"/>
    </w:rPr>
  </w:style>
  <w:style w:type="paragraph" w:customStyle="1" w:styleId="BodyText100">
    <w:name w:val="Body Text10"/>
    <w:basedOn w:val="Normal"/>
    <w:rsid w:val="00DD5DC6"/>
    <w:pPr>
      <w:widowControl w:val="0"/>
      <w:shd w:val="clear" w:color="auto" w:fill="FFFFFF"/>
      <w:spacing w:line="0" w:lineRule="atLeast"/>
      <w:ind w:hanging="360"/>
    </w:pPr>
    <w:rPr>
      <w:color w:val="000000"/>
      <w:sz w:val="20"/>
      <w:szCs w:val="20"/>
      <w:lang w:val="hr-HR" w:eastAsia="bs-Latn-BA"/>
    </w:rPr>
  </w:style>
  <w:style w:type="paragraph" w:customStyle="1" w:styleId="Tablecaption20">
    <w:name w:val="Table caption (2)"/>
    <w:basedOn w:val="Normal"/>
    <w:rsid w:val="003F7918"/>
    <w:pPr>
      <w:widowControl w:val="0"/>
      <w:shd w:val="clear" w:color="auto" w:fill="FFFFFF"/>
      <w:spacing w:line="0" w:lineRule="atLeast"/>
    </w:pPr>
    <w:rPr>
      <w:rFonts w:ascii="Arial" w:eastAsia="Arial" w:hAnsi="Arial" w:cs="Arial"/>
      <w:color w:val="000000"/>
      <w:sz w:val="15"/>
      <w:szCs w:val="15"/>
      <w:lang w:val="hr-HR" w:eastAsia="bs-Latn-BA"/>
    </w:rPr>
  </w:style>
  <w:style w:type="paragraph" w:styleId="NormalWeb">
    <w:name w:val="Normal (Web)"/>
    <w:basedOn w:val="Normal"/>
    <w:uiPriority w:val="99"/>
    <w:unhideWhenUsed/>
    <w:rsid w:val="00E249D5"/>
    <w:pPr>
      <w:spacing w:before="100" w:beforeAutospacing="1" w:after="100" w:afterAutospacing="1"/>
    </w:pPr>
    <w:rPr>
      <w:lang w:val="bs-Latn-BA" w:eastAsia="bs-Latn-BA"/>
    </w:rPr>
  </w:style>
  <w:style w:type="character" w:customStyle="1" w:styleId="Heading1Char">
    <w:name w:val="Heading 1 Char"/>
    <w:basedOn w:val="DefaultParagraphFont"/>
    <w:link w:val="Heading1"/>
    <w:rsid w:val="009E4100"/>
    <w:rPr>
      <w:rFonts w:ascii="Arial" w:hAnsi="Arial" w:cs="Arial"/>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4065812">
      <w:bodyDiv w:val="1"/>
      <w:marLeft w:val="0"/>
      <w:marRight w:val="0"/>
      <w:marTop w:val="0"/>
      <w:marBottom w:val="0"/>
      <w:divBdr>
        <w:top w:val="none" w:sz="0" w:space="0" w:color="auto"/>
        <w:left w:val="none" w:sz="0" w:space="0" w:color="auto"/>
        <w:bottom w:val="none" w:sz="0" w:space="0" w:color="auto"/>
        <w:right w:val="none" w:sz="0" w:space="0" w:color="auto"/>
      </w:divBdr>
    </w:div>
    <w:div w:id="14113994">
      <w:bodyDiv w:val="1"/>
      <w:marLeft w:val="0"/>
      <w:marRight w:val="0"/>
      <w:marTop w:val="0"/>
      <w:marBottom w:val="0"/>
      <w:divBdr>
        <w:top w:val="none" w:sz="0" w:space="0" w:color="auto"/>
        <w:left w:val="none" w:sz="0" w:space="0" w:color="auto"/>
        <w:bottom w:val="none" w:sz="0" w:space="0" w:color="auto"/>
        <w:right w:val="none" w:sz="0" w:space="0" w:color="auto"/>
      </w:divBdr>
    </w:div>
    <w:div w:id="14816490">
      <w:bodyDiv w:val="1"/>
      <w:marLeft w:val="0"/>
      <w:marRight w:val="0"/>
      <w:marTop w:val="0"/>
      <w:marBottom w:val="0"/>
      <w:divBdr>
        <w:top w:val="none" w:sz="0" w:space="0" w:color="auto"/>
        <w:left w:val="none" w:sz="0" w:space="0" w:color="auto"/>
        <w:bottom w:val="none" w:sz="0" w:space="0" w:color="auto"/>
        <w:right w:val="none" w:sz="0" w:space="0" w:color="auto"/>
      </w:divBdr>
    </w:div>
    <w:div w:id="34619265">
      <w:bodyDiv w:val="1"/>
      <w:marLeft w:val="0"/>
      <w:marRight w:val="0"/>
      <w:marTop w:val="0"/>
      <w:marBottom w:val="0"/>
      <w:divBdr>
        <w:top w:val="none" w:sz="0" w:space="0" w:color="auto"/>
        <w:left w:val="none" w:sz="0" w:space="0" w:color="auto"/>
        <w:bottom w:val="none" w:sz="0" w:space="0" w:color="auto"/>
        <w:right w:val="none" w:sz="0" w:space="0" w:color="auto"/>
      </w:divBdr>
    </w:div>
    <w:div w:id="57755113">
      <w:bodyDiv w:val="1"/>
      <w:marLeft w:val="0"/>
      <w:marRight w:val="0"/>
      <w:marTop w:val="0"/>
      <w:marBottom w:val="0"/>
      <w:divBdr>
        <w:top w:val="none" w:sz="0" w:space="0" w:color="auto"/>
        <w:left w:val="none" w:sz="0" w:space="0" w:color="auto"/>
        <w:bottom w:val="none" w:sz="0" w:space="0" w:color="auto"/>
        <w:right w:val="none" w:sz="0" w:space="0" w:color="auto"/>
      </w:divBdr>
    </w:div>
    <w:div w:id="69474021">
      <w:bodyDiv w:val="1"/>
      <w:marLeft w:val="0"/>
      <w:marRight w:val="0"/>
      <w:marTop w:val="0"/>
      <w:marBottom w:val="0"/>
      <w:divBdr>
        <w:top w:val="none" w:sz="0" w:space="0" w:color="auto"/>
        <w:left w:val="none" w:sz="0" w:space="0" w:color="auto"/>
        <w:bottom w:val="none" w:sz="0" w:space="0" w:color="auto"/>
        <w:right w:val="none" w:sz="0" w:space="0" w:color="auto"/>
      </w:divBdr>
    </w:div>
    <w:div w:id="72626088">
      <w:bodyDiv w:val="1"/>
      <w:marLeft w:val="0"/>
      <w:marRight w:val="0"/>
      <w:marTop w:val="0"/>
      <w:marBottom w:val="0"/>
      <w:divBdr>
        <w:top w:val="none" w:sz="0" w:space="0" w:color="auto"/>
        <w:left w:val="none" w:sz="0" w:space="0" w:color="auto"/>
        <w:bottom w:val="none" w:sz="0" w:space="0" w:color="auto"/>
        <w:right w:val="none" w:sz="0" w:space="0" w:color="auto"/>
      </w:divBdr>
    </w:div>
    <w:div w:id="75521440">
      <w:bodyDiv w:val="1"/>
      <w:marLeft w:val="0"/>
      <w:marRight w:val="0"/>
      <w:marTop w:val="0"/>
      <w:marBottom w:val="0"/>
      <w:divBdr>
        <w:top w:val="none" w:sz="0" w:space="0" w:color="auto"/>
        <w:left w:val="none" w:sz="0" w:space="0" w:color="auto"/>
        <w:bottom w:val="none" w:sz="0" w:space="0" w:color="auto"/>
        <w:right w:val="none" w:sz="0" w:space="0" w:color="auto"/>
      </w:divBdr>
    </w:div>
    <w:div w:id="89787513">
      <w:bodyDiv w:val="1"/>
      <w:marLeft w:val="0"/>
      <w:marRight w:val="0"/>
      <w:marTop w:val="0"/>
      <w:marBottom w:val="0"/>
      <w:divBdr>
        <w:top w:val="none" w:sz="0" w:space="0" w:color="auto"/>
        <w:left w:val="none" w:sz="0" w:space="0" w:color="auto"/>
        <w:bottom w:val="none" w:sz="0" w:space="0" w:color="auto"/>
        <w:right w:val="none" w:sz="0" w:space="0" w:color="auto"/>
      </w:divBdr>
    </w:div>
    <w:div w:id="134958671">
      <w:bodyDiv w:val="1"/>
      <w:marLeft w:val="0"/>
      <w:marRight w:val="0"/>
      <w:marTop w:val="0"/>
      <w:marBottom w:val="0"/>
      <w:divBdr>
        <w:top w:val="none" w:sz="0" w:space="0" w:color="auto"/>
        <w:left w:val="none" w:sz="0" w:space="0" w:color="auto"/>
        <w:bottom w:val="none" w:sz="0" w:space="0" w:color="auto"/>
        <w:right w:val="none" w:sz="0" w:space="0" w:color="auto"/>
      </w:divBdr>
    </w:div>
    <w:div w:id="135995379">
      <w:bodyDiv w:val="1"/>
      <w:marLeft w:val="0"/>
      <w:marRight w:val="0"/>
      <w:marTop w:val="0"/>
      <w:marBottom w:val="0"/>
      <w:divBdr>
        <w:top w:val="none" w:sz="0" w:space="0" w:color="auto"/>
        <w:left w:val="none" w:sz="0" w:space="0" w:color="auto"/>
        <w:bottom w:val="none" w:sz="0" w:space="0" w:color="auto"/>
        <w:right w:val="none" w:sz="0" w:space="0" w:color="auto"/>
      </w:divBdr>
    </w:div>
    <w:div w:id="151335350">
      <w:bodyDiv w:val="1"/>
      <w:marLeft w:val="0"/>
      <w:marRight w:val="0"/>
      <w:marTop w:val="0"/>
      <w:marBottom w:val="0"/>
      <w:divBdr>
        <w:top w:val="none" w:sz="0" w:space="0" w:color="auto"/>
        <w:left w:val="none" w:sz="0" w:space="0" w:color="auto"/>
        <w:bottom w:val="none" w:sz="0" w:space="0" w:color="auto"/>
        <w:right w:val="none" w:sz="0" w:space="0" w:color="auto"/>
      </w:divBdr>
    </w:div>
    <w:div w:id="168446677">
      <w:bodyDiv w:val="1"/>
      <w:marLeft w:val="0"/>
      <w:marRight w:val="0"/>
      <w:marTop w:val="0"/>
      <w:marBottom w:val="0"/>
      <w:divBdr>
        <w:top w:val="none" w:sz="0" w:space="0" w:color="auto"/>
        <w:left w:val="none" w:sz="0" w:space="0" w:color="auto"/>
        <w:bottom w:val="none" w:sz="0" w:space="0" w:color="auto"/>
        <w:right w:val="none" w:sz="0" w:space="0" w:color="auto"/>
      </w:divBdr>
    </w:div>
    <w:div w:id="187644644">
      <w:bodyDiv w:val="1"/>
      <w:marLeft w:val="0"/>
      <w:marRight w:val="0"/>
      <w:marTop w:val="0"/>
      <w:marBottom w:val="0"/>
      <w:divBdr>
        <w:top w:val="none" w:sz="0" w:space="0" w:color="auto"/>
        <w:left w:val="none" w:sz="0" w:space="0" w:color="auto"/>
        <w:bottom w:val="none" w:sz="0" w:space="0" w:color="auto"/>
        <w:right w:val="none" w:sz="0" w:space="0" w:color="auto"/>
      </w:divBdr>
    </w:div>
    <w:div w:id="189807141">
      <w:bodyDiv w:val="1"/>
      <w:marLeft w:val="0"/>
      <w:marRight w:val="0"/>
      <w:marTop w:val="0"/>
      <w:marBottom w:val="0"/>
      <w:divBdr>
        <w:top w:val="none" w:sz="0" w:space="0" w:color="auto"/>
        <w:left w:val="none" w:sz="0" w:space="0" w:color="auto"/>
        <w:bottom w:val="none" w:sz="0" w:space="0" w:color="auto"/>
        <w:right w:val="none" w:sz="0" w:space="0" w:color="auto"/>
      </w:divBdr>
    </w:div>
    <w:div w:id="199830981">
      <w:bodyDiv w:val="1"/>
      <w:marLeft w:val="0"/>
      <w:marRight w:val="0"/>
      <w:marTop w:val="0"/>
      <w:marBottom w:val="0"/>
      <w:divBdr>
        <w:top w:val="none" w:sz="0" w:space="0" w:color="auto"/>
        <w:left w:val="none" w:sz="0" w:space="0" w:color="auto"/>
        <w:bottom w:val="none" w:sz="0" w:space="0" w:color="auto"/>
        <w:right w:val="none" w:sz="0" w:space="0" w:color="auto"/>
      </w:divBdr>
    </w:div>
    <w:div w:id="201745009">
      <w:bodyDiv w:val="1"/>
      <w:marLeft w:val="0"/>
      <w:marRight w:val="0"/>
      <w:marTop w:val="0"/>
      <w:marBottom w:val="0"/>
      <w:divBdr>
        <w:top w:val="none" w:sz="0" w:space="0" w:color="auto"/>
        <w:left w:val="none" w:sz="0" w:space="0" w:color="auto"/>
        <w:bottom w:val="none" w:sz="0" w:space="0" w:color="auto"/>
        <w:right w:val="none" w:sz="0" w:space="0" w:color="auto"/>
      </w:divBdr>
    </w:div>
    <w:div w:id="212353191">
      <w:bodyDiv w:val="1"/>
      <w:marLeft w:val="0"/>
      <w:marRight w:val="0"/>
      <w:marTop w:val="0"/>
      <w:marBottom w:val="0"/>
      <w:divBdr>
        <w:top w:val="none" w:sz="0" w:space="0" w:color="auto"/>
        <w:left w:val="none" w:sz="0" w:space="0" w:color="auto"/>
        <w:bottom w:val="none" w:sz="0" w:space="0" w:color="auto"/>
        <w:right w:val="none" w:sz="0" w:space="0" w:color="auto"/>
      </w:divBdr>
    </w:div>
    <w:div w:id="244344971">
      <w:bodyDiv w:val="1"/>
      <w:marLeft w:val="0"/>
      <w:marRight w:val="0"/>
      <w:marTop w:val="0"/>
      <w:marBottom w:val="0"/>
      <w:divBdr>
        <w:top w:val="none" w:sz="0" w:space="0" w:color="auto"/>
        <w:left w:val="none" w:sz="0" w:space="0" w:color="auto"/>
        <w:bottom w:val="none" w:sz="0" w:space="0" w:color="auto"/>
        <w:right w:val="none" w:sz="0" w:space="0" w:color="auto"/>
      </w:divBdr>
    </w:div>
    <w:div w:id="263001247">
      <w:bodyDiv w:val="1"/>
      <w:marLeft w:val="0"/>
      <w:marRight w:val="0"/>
      <w:marTop w:val="0"/>
      <w:marBottom w:val="0"/>
      <w:divBdr>
        <w:top w:val="none" w:sz="0" w:space="0" w:color="auto"/>
        <w:left w:val="none" w:sz="0" w:space="0" w:color="auto"/>
        <w:bottom w:val="none" w:sz="0" w:space="0" w:color="auto"/>
        <w:right w:val="none" w:sz="0" w:space="0" w:color="auto"/>
      </w:divBdr>
    </w:div>
    <w:div w:id="267394395">
      <w:bodyDiv w:val="1"/>
      <w:marLeft w:val="0"/>
      <w:marRight w:val="0"/>
      <w:marTop w:val="0"/>
      <w:marBottom w:val="0"/>
      <w:divBdr>
        <w:top w:val="none" w:sz="0" w:space="0" w:color="auto"/>
        <w:left w:val="none" w:sz="0" w:space="0" w:color="auto"/>
        <w:bottom w:val="none" w:sz="0" w:space="0" w:color="auto"/>
        <w:right w:val="none" w:sz="0" w:space="0" w:color="auto"/>
      </w:divBdr>
    </w:div>
    <w:div w:id="271713798">
      <w:bodyDiv w:val="1"/>
      <w:marLeft w:val="0"/>
      <w:marRight w:val="0"/>
      <w:marTop w:val="0"/>
      <w:marBottom w:val="0"/>
      <w:divBdr>
        <w:top w:val="none" w:sz="0" w:space="0" w:color="auto"/>
        <w:left w:val="none" w:sz="0" w:space="0" w:color="auto"/>
        <w:bottom w:val="none" w:sz="0" w:space="0" w:color="auto"/>
        <w:right w:val="none" w:sz="0" w:space="0" w:color="auto"/>
      </w:divBdr>
    </w:div>
    <w:div w:id="275526682">
      <w:bodyDiv w:val="1"/>
      <w:marLeft w:val="0"/>
      <w:marRight w:val="0"/>
      <w:marTop w:val="0"/>
      <w:marBottom w:val="0"/>
      <w:divBdr>
        <w:top w:val="none" w:sz="0" w:space="0" w:color="auto"/>
        <w:left w:val="none" w:sz="0" w:space="0" w:color="auto"/>
        <w:bottom w:val="none" w:sz="0" w:space="0" w:color="auto"/>
        <w:right w:val="none" w:sz="0" w:space="0" w:color="auto"/>
      </w:divBdr>
    </w:div>
    <w:div w:id="277110042">
      <w:bodyDiv w:val="1"/>
      <w:marLeft w:val="0"/>
      <w:marRight w:val="0"/>
      <w:marTop w:val="0"/>
      <w:marBottom w:val="0"/>
      <w:divBdr>
        <w:top w:val="none" w:sz="0" w:space="0" w:color="auto"/>
        <w:left w:val="none" w:sz="0" w:space="0" w:color="auto"/>
        <w:bottom w:val="none" w:sz="0" w:space="0" w:color="auto"/>
        <w:right w:val="none" w:sz="0" w:space="0" w:color="auto"/>
      </w:divBdr>
    </w:div>
    <w:div w:id="283200641">
      <w:bodyDiv w:val="1"/>
      <w:marLeft w:val="0"/>
      <w:marRight w:val="0"/>
      <w:marTop w:val="0"/>
      <w:marBottom w:val="0"/>
      <w:divBdr>
        <w:top w:val="none" w:sz="0" w:space="0" w:color="auto"/>
        <w:left w:val="none" w:sz="0" w:space="0" w:color="auto"/>
        <w:bottom w:val="none" w:sz="0" w:space="0" w:color="auto"/>
        <w:right w:val="none" w:sz="0" w:space="0" w:color="auto"/>
      </w:divBdr>
    </w:div>
    <w:div w:id="284040070">
      <w:bodyDiv w:val="1"/>
      <w:marLeft w:val="0"/>
      <w:marRight w:val="0"/>
      <w:marTop w:val="0"/>
      <w:marBottom w:val="0"/>
      <w:divBdr>
        <w:top w:val="none" w:sz="0" w:space="0" w:color="auto"/>
        <w:left w:val="none" w:sz="0" w:space="0" w:color="auto"/>
        <w:bottom w:val="none" w:sz="0" w:space="0" w:color="auto"/>
        <w:right w:val="none" w:sz="0" w:space="0" w:color="auto"/>
      </w:divBdr>
    </w:div>
    <w:div w:id="290795514">
      <w:bodyDiv w:val="1"/>
      <w:marLeft w:val="0"/>
      <w:marRight w:val="0"/>
      <w:marTop w:val="0"/>
      <w:marBottom w:val="0"/>
      <w:divBdr>
        <w:top w:val="none" w:sz="0" w:space="0" w:color="auto"/>
        <w:left w:val="none" w:sz="0" w:space="0" w:color="auto"/>
        <w:bottom w:val="none" w:sz="0" w:space="0" w:color="auto"/>
        <w:right w:val="none" w:sz="0" w:space="0" w:color="auto"/>
      </w:divBdr>
    </w:div>
    <w:div w:id="308755898">
      <w:bodyDiv w:val="1"/>
      <w:marLeft w:val="0"/>
      <w:marRight w:val="0"/>
      <w:marTop w:val="0"/>
      <w:marBottom w:val="0"/>
      <w:divBdr>
        <w:top w:val="none" w:sz="0" w:space="0" w:color="auto"/>
        <w:left w:val="none" w:sz="0" w:space="0" w:color="auto"/>
        <w:bottom w:val="none" w:sz="0" w:space="0" w:color="auto"/>
        <w:right w:val="none" w:sz="0" w:space="0" w:color="auto"/>
      </w:divBdr>
    </w:div>
    <w:div w:id="310596228">
      <w:bodyDiv w:val="1"/>
      <w:marLeft w:val="0"/>
      <w:marRight w:val="0"/>
      <w:marTop w:val="0"/>
      <w:marBottom w:val="0"/>
      <w:divBdr>
        <w:top w:val="none" w:sz="0" w:space="0" w:color="auto"/>
        <w:left w:val="none" w:sz="0" w:space="0" w:color="auto"/>
        <w:bottom w:val="none" w:sz="0" w:space="0" w:color="auto"/>
        <w:right w:val="none" w:sz="0" w:space="0" w:color="auto"/>
      </w:divBdr>
    </w:div>
    <w:div w:id="335036202">
      <w:bodyDiv w:val="1"/>
      <w:marLeft w:val="0"/>
      <w:marRight w:val="0"/>
      <w:marTop w:val="0"/>
      <w:marBottom w:val="0"/>
      <w:divBdr>
        <w:top w:val="none" w:sz="0" w:space="0" w:color="auto"/>
        <w:left w:val="none" w:sz="0" w:space="0" w:color="auto"/>
        <w:bottom w:val="none" w:sz="0" w:space="0" w:color="auto"/>
        <w:right w:val="none" w:sz="0" w:space="0" w:color="auto"/>
      </w:divBdr>
    </w:div>
    <w:div w:id="343098671">
      <w:bodyDiv w:val="1"/>
      <w:marLeft w:val="0"/>
      <w:marRight w:val="0"/>
      <w:marTop w:val="0"/>
      <w:marBottom w:val="0"/>
      <w:divBdr>
        <w:top w:val="none" w:sz="0" w:space="0" w:color="auto"/>
        <w:left w:val="none" w:sz="0" w:space="0" w:color="auto"/>
        <w:bottom w:val="none" w:sz="0" w:space="0" w:color="auto"/>
        <w:right w:val="none" w:sz="0" w:space="0" w:color="auto"/>
      </w:divBdr>
    </w:div>
    <w:div w:id="353532456">
      <w:bodyDiv w:val="1"/>
      <w:marLeft w:val="0"/>
      <w:marRight w:val="0"/>
      <w:marTop w:val="0"/>
      <w:marBottom w:val="0"/>
      <w:divBdr>
        <w:top w:val="none" w:sz="0" w:space="0" w:color="auto"/>
        <w:left w:val="none" w:sz="0" w:space="0" w:color="auto"/>
        <w:bottom w:val="none" w:sz="0" w:space="0" w:color="auto"/>
        <w:right w:val="none" w:sz="0" w:space="0" w:color="auto"/>
      </w:divBdr>
    </w:div>
    <w:div w:id="359866106">
      <w:bodyDiv w:val="1"/>
      <w:marLeft w:val="0"/>
      <w:marRight w:val="0"/>
      <w:marTop w:val="0"/>
      <w:marBottom w:val="0"/>
      <w:divBdr>
        <w:top w:val="none" w:sz="0" w:space="0" w:color="auto"/>
        <w:left w:val="none" w:sz="0" w:space="0" w:color="auto"/>
        <w:bottom w:val="none" w:sz="0" w:space="0" w:color="auto"/>
        <w:right w:val="none" w:sz="0" w:space="0" w:color="auto"/>
      </w:divBdr>
    </w:div>
    <w:div w:id="361903282">
      <w:bodyDiv w:val="1"/>
      <w:marLeft w:val="0"/>
      <w:marRight w:val="0"/>
      <w:marTop w:val="0"/>
      <w:marBottom w:val="0"/>
      <w:divBdr>
        <w:top w:val="none" w:sz="0" w:space="0" w:color="auto"/>
        <w:left w:val="none" w:sz="0" w:space="0" w:color="auto"/>
        <w:bottom w:val="none" w:sz="0" w:space="0" w:color="auto"/>
        <w:right w:val="none" w:sz="0" w:space="0" w:color="auto"/>
      </w:divBdr>
    </w:div>
    <w:div w:id="365453154">
      <w:bodyDiv w:val="1"/>
      <w:marLeft w:val="0"/>
      <w:marRight w:val="0"/>
      <w:marTop w:val="0"/>
      <w:marBottom w:val="0"/>
      <w:divBdr>
        <w:top w:val="none" w:sz="0" w:space="0" w:color="auto"/>
        <w:left w:val="none" w:sz="0" w:space="0" w:color="auto"/>
        <w:bottom w:val="none" w:sz="0" w:space="0" w:color="auto"/>
        <w:right w:val="none" w:sz="0" w:space="0" w:color="auto"/>
      </w:divBdr>
    </w:div>
    <w:div w:id="388766366">
      <w:bodyDiv w:val="1"/>
      <w:marLeft w:val="0"/>
      <w:marRight w:val="0"/>
      <w:marTop w:val="0"/>
      <w:marBottom w:val="0"/>
      <w:divBdr>
        <w:top w:val="none" w:sz="0" w:space="0" w:color="auto"/>
        <w:left w:val="none" w:sz="0" w:space="0" w:color="auto"/>
        <w:bottom w:val="none" w:sz="0" w:space="0" w:color="auto"/>
        <w:right w:val="none" w:sz="0" w:space="0" w:color="auto"/>
      </w:divBdr>
    </w:div>
    <w:div w:id="389351543">
      <w:bodyDiv w:val="1"/>
      <w:marLeft w:val="0"/>
      <w:marRight w:val="0"/>
      <w:marTop w:val="0"/>
      <w:marBottom w:val="0"/>
      <w:divBdr>
        <w:top w:val="none" w:sz="0" w:space="0" w:color="auto"/>
        <w:left w:val="none" w:sz="0" w:space="0" w:color="auto"/>
        <w:bottom w:val="none" w:sz="0" w:space="0" w:color="auto"/>
        <w:right w:val="none" w:sz="0" w:space="0" w:color="auto"/>
      </w:divBdr>
    </w:div>
    <w:div w:id="390622602">
      <w:bodyDiv w:val="1"/>
      <w:marLeft w:val="0"/>
      <w:marRight w:val="0"/>
      <w:marTop w:val="0"/>
      <w:marBottom w:val="0"/>
      <w:divBdr>
        <w:top w:val="none" w:sz="0" w:space="0" w:color="auto"/>
        <w:left w:val="none" w:sz="0" w:space="0" w:color="auto"/>
        <w:bottom w:val="none" w:sz="0" w:space="0" w:color="auto"/>
        <w:right w:val="none" w:sz="0" w:space="0" w:color="auto"/>
      </w:divBdr>
    </w:div>
    <w:div w:id="404651824">
      <w:bodyDiv w:val="1"/>
      <w:marLeft w:val="0"/>
      <w:marRight w:val="0"/>
      <w:marTop w:val="0"/>
      <w:marBottom w:val="0"/>
      <w:divBdr>
        <w:top w:val="none" w:sz="0" w:space="0" w:color="auto"/>
        <w:left w:val="none" w:sz="0" w:space="0" w:color="auto"/>
        <w:bottom w:val="none" w:sz="0" w:space="0" w:color="auto"/>
        <w:right w:val="none" w:sz="0" w:space="0" w:color="auto"/>
      </w:divBdr>
    </w:div>
    <w:div w:id="406922430">
      <w:bodyDiv w:val="1"/>
      <w:marLeft w:val="0"/>
      <w:marRight w:val="0"/>
      <w:marTop w:val="0"/>
      <w:marBottom w:val="0"/>
      <w:divBdr>
        <w:top w:val="none" w:sz="0" w:space="0" w:color="auto"/>
        <w:left w:val="none" w:sz="0" w:space="0" w:color="auto"/>
        <w:bottom w:val="none" w:sz="0" w:space="0" w:color="auto"/>
        <w:right w:val="none" w:sz="0" w:space="0" w:color="auto"/>
      </w:divBdr>
    </w:div>
    <w:div w:id="422797175">
      <w:bodyDiv w:val="1"/>
      <w:marLeft w:val="0"/>
      <w:marRight w:val="0"/>
      <w:marTop w:val="0"/>
      <w:marBottom w:val="0"/>
      <w:divBdr>
        <w:top w:val="none" w:sz="0" w:space="0" w:color="auto"/>
        <w:left w:val="none" w:sz="0" w:space="0" w:color="auto"/>
        <w:bottom w:val="none" w:sz="0" w:space="0" w:color="auto"/>
        <w:right w:val="none" w:sz="0" w:space="0" w:color="auto"/>
      </w:divBdr>
    </w:div>
    <w:div w:id="443811711">
      <w:bodyDiv w:val="1"/>
      <w:marLeft w:val="0"/>
      <w:marRight w:val="0"/>
      <w:marTop w:val="0"/>
      <w:marBottom w:val="0"/>
      <w:divBdr>
        <w:top w:val="none" w:sz="0" w:space="0" w:color="auto"/>
        <w:left w:val="none" w:sz="0" w:space="0" w:color="auto"/>
        <w:bottom w:val="none" w:sz="0" w:space="0" w:color="auto"/>
        <w:right w:val="none" w:sz="0" w:space="0" w:color="auto"/>
      </w:divBdr>
    </w:div>
    <w:div w:id="461339348">
      <w:bodyDiv w:val="1"/>
      <w:marLeft w:val="0"/>
      <w:marRight w:val="0"/>
      <w:marTop w:val="0"/>
      <w:marBottom w:val="0"/>
      <w:divBdr>
        <w:top w:val="none" w:sz="0" w:space="0" w:color="auto"/>
        <w:left w:val="none" w:sz="0" w:space="0" w:color="auto"/>
        <w:bottom w:val="none" w:sz="0" w:space="0" w:color="auto"/>
        <w:right w:val="none" w:sz="0" w:space="0" w:color="auto"/>
      </w:divBdr>
    </w:div>
    <w:div w:id="464012303">
      <w:bodyDiv w:val="1"/>
      <w:marLeft w:val="0"/>
      <w:marRight w:val="0"/>
      <w:marTop w:val="0"/>
      <w:marBottom w:val="0"/>
      <w:divBdr>
        <w:top w:val="none" w:sz="0" w:space="0" w:color="auto"/>
        <w:left w:val="none" w:sz="0" w:space="0" w:color="auto"/>
        <w:bottom w:val="none" w:sz="0" w:space="0" w:color="auto"/>
        <w:right w:val="none" w:sz="0" w:space="0" w:color="auto"/>
      </w:divBdr>
    </w:div>
    <w:div w:id="476533888">
      <w:bodyDiv w:val="1"/>
      <w:marLeft w:val="0"/>
      <w:marRight w:val="0"/>
      <w:marTop w:val="0"/>
      <w:marBottom w:val="0"/>
      <w:divBdr>
        <w:top w:val="none" w:sz="0" w:space="0" w:color="auto"/>
        <w:left w:val="none" w:sz="0" w:space="0" w:color="auto"/>
        <w:bottom w:val="none" w:sz="0" w:space="0" w:color="auto"/>
        <w:right w:val="none" w:sz="0" w:space="0" w:color="auto"/>
      </w:divBdr>
    </w:div>
    <w:div w:id="489903309">
      <w:bodyDiv w:val="1"/>
      <w:marLeft w:val="0"/>
      <w:marRight w:val="0"/>
      <w:marTop w:val="0"/>
      <w:marBottom w:val="0"/>
      <w:divBdr>
        <w:top w:val="none" w:sz="0" w:space="0" w:color="auto"/>
        <w:left w:val="none" w:sz="0" w:space="0" w:color="auto"/>
        <w:bottom w:val="none" w:sz="0" w:space="0" w:color="auto"/>
        <w:right w:val="none" w:sz="0" w:space="0" w:color="auto"/>
      </w:divBdr>
    </w:div>
    <w:div w:id="491143069">
      <w:bodyDiv w:val="1"/>
      <w:marLeft w:val="0"/>
      <w:marRight w:val="0"/>
      <w:marTop w:val="0"/>
      <w:marBottom w:val="0"/>
      <w:divBdr>
        <w:top w:val="none" w:sz="0" w:space="0" w:color="auto"/>
        <w:left w:val="none" w:sz="0" w:space="0" w:color="auto"/>
        <w:bottom w:val="none" w:sz="0" w:space="0" w:color="auto"/>
        <w:right w:val="none" w:sz="0" w:space="0" w:color="auto"/>
      </w:divBdr>
    </w:div>
    <w:div w:id="498232059">
      <w:bodyDiv w:val="1"/>
      <w:marLeft w:val="0"/>
      <w:marRight w:val="0"/>
      <w:marTop w:val="0"/>
      <w:marBottom w:val="0"/>
      <w:divBdr>
        <w:top w:val="none" w:sz="0" w:space="0" w:color="auto"/>
        <w:left w:val="none" w:sz="0" w:space="0" w:color="auto"/>
        <w:bottom w:val="none" w:sz="0" w:space="0" w:color="auto"/>
        <w:right w:val="none" w:sz="0" w:space="0" w:color="auto"/>
      </w:divBdr>
    </w:div>
    <w:div w:id="498813482">
      <w:bodyDiv w:val="1"/>
      <w:marLeft w:val="0"/>
      <w:marRight w:val="0"/>
      <w:marTop w:val="0"/>
      <w:marBottom w:val="0"/>
      <w:divBdr>
        <w:top w:val="none" w:sz="0" w:space="0" w:color="auto"/>
        <w:left w:val="none" w:sz="0" w:space="0" w:color="auto"/>
        <w:bottom w:val="none" w:sz="0" w:space="0" w:color="auto"/>
        <w:right w:val="none" w:sz="0" w:space="0" w:color="auto"/>
      </w:divBdr>
    </w:div>
    <w:div w:id="500393445">
      <w:bodyDiv w:val="1"/>
      <w:marLeft w:val="0"/>
      <w:marRight w:val="0"/>
      <w:marTop w:val="0"/>
      <w:marBottom w:val="0"/>
      <w:divBdr>
        <w:top w:val="none" w:sz="0" w:space="0" w:color="auto"/>
        <w:left w:val="none" w:sz="0" w:space="0" w:color="auto"/>
        <w:bottom w:val="none" w:sz="0" w:space="0" w:color="auto"/>
        <w:right w:val="none" w:sz="0" w:space="0" w:color="auto"/>
      </w:divBdr>
    </w:div>
    <w:div w:id="511533057">
      <w:bodyDiv w:val="1"/>
      <w:marLeft w:val="0"/>
      <w:marRight w:val="0"/>
      <w:marTop w:val="0"/>
      <w:marBottom w:val="0"/>
      <w:divBdr>
        <w:top w:val="none" w:sz="0" w:space="0" w:color="auto"/>
        <w:left w:val="none" w:sz="0" w:space="0" w:color="auto"/>
        <w:bottom w:val="none" w:sz="0" w:space="0" w:color="auto"/>
        <w:right w:val="none" w:sz="0" w:space="0" w:color="auto"/>
      </w:divBdr>
    </w:div>
    <w:div w:id="525411965">
      <w:bodyDiv w:val="1"/>
      <w:marLeft w:val="0"/>
      <w:marRight w:val="0"/>
      <w:marTop w:val="0"/>
      <w:marBottom w:val="0"/>
      <w:divBdr>
        <w:top w:val="none" w:sz="0" w:space="0" w:color="auto"/>
        <w:left w:val="none" w:sz="0" w:space="0" w:color="auto"/>
        <w:bottom w:val="none" w:sz="0" w:space="0" w:color="auto"/>
        <w:right w:val="none" w:sz="0" w:space="0" w:color="auto"/>
      </w:divBdr>
    </w:div>
    <w:div w:id="544100607">
      <w:bodyDiv w:val="1"/>
      <w:marLeft w:val="0"/>
      <w:marRight w:val="0"/>
      <w:marTop w:val="0"/>
      <w:marBottom w:val="0"/>
      <w:divBdr>
        <w:top w:val="none" w:sz="0" w:space="0" w:color="auto"/>
        <w:left w:val="none" w:sz="0" w:space="0" w:color="auto"/>
        <w:bottom w:val="none" w:sz="0" w:space="0" w:color="auto"/>
        <w:right w:val="none" w:sz="0" w:space="0" w:color="auto"/>
      </w:divBdr>
    </w:div>
    <w:div w:id="546570623">
      <w:bodyDiv w:val="1"/>
      <w:marLeft w:val="0"/>
      <w:marRight w:val="0"/>
      <w:marTop w:val="0"/>
      <w:marBottom w:val="0"/>
      <w:divBdr>
        <w:top w:val="none" w:sz="0" w:space="0" w:color="auto"/>
        <w:left w:val="none" w:sz="0" w:space="0" w:color="auto"/>
        <w:bottom w:val="none" w:sz="0" w:space="0" w:color="auto"/>
        <w:right w:val="none" w:sz="0" w:space="0" w:color="auto"/>
      </w:divBdr>
    </w:div>
    <w:div w:id="549146517">
      <w:bodyDiv w:val="1"/>
      <w:marLeft w:val="0"/>
      <w:marRight w:val="0"/>
      <w:marTop w:val="0"/>
      <w:marBottom w:val="0"/>
      <w:divBdr>
        <w:top w:val="none" w:sz="0" w:space="0" w:color="auto"/>
        <w:left w:val="none" w:sz="0" w:space="0" w:color="auto"/>
        <w:bottom w:val="none" w:sz="0" w:space="0" w:color="auto"/>
        <w:right w:val="none" w:sz="0" w:space="0" w:color="auto"/>
      </w:divBdr>
    </w:div>
    <w:div w:id="556357110">
      <w:bodyDiv w:val="1"/>
      <w:marLeft w:val="0"/>
      <w:marRight w:val="0"/>
      <w:marTop w:val="0"/>
      <w:marBottom w:val="0"/>
      <w:divBdr>
        <w:top w:val="none" w:sz="0" w:space="0" w:color="auto"/>
        <w:left w:val="none" w:sz="0" w:space="0" w:color="auto"/>
        <w:bottom w:val="none" w:sz="0" w:space="0" w:color="auto"/>
        <w:right w:val="none" w:sz="0" w:space="0" w:color="auto"/>
      </w:divBdr>
    </w:div>
    <w:div w:id="562255921">
      <w:bodyDiv w:val="1"/>
      <w:marLeft w:val="0"/>
      <w:marRight w:val="0"/>
      <w:marTop w:val="0"/>
      <w:marBottom w:val="0"/>
      <w:divBdr>
        <w:top w:val="none" w:sz="0" w:space="0" w:color="auto"/>
        <w:left w:val="none" w:sz="0" w:space="0" w:color="auto"/>
        <w:bottom w:val="none" w:sz="0" w:space="0" w:color="auto"/>
        <w:right w:val="none" w:sz="0" w:space="0" w:color="auto"/>
      </w:divBdr>
    </w:div>
    <w:div w:id="570309407">
      <w:bodyDiv w:val="1"/>
      <w:marLeft w:val="0"/>
      <w:marRight w:val="0"/>
      <w:marTop w:val="0"/>
      <w:marBottom w:val="0"/>
      <w:divBdr>
        <w:top w:val="none" w:sz="0" w:space="0" w:color="auto"/>
        <w:left w:val="none" w:sz="0" w:space="0" w:color="auto"/>
        <w:bottom w:val="none" w:sz="0" w:space="0" w:color="auto"/>
        <w:right w:val="none" w:sz="0" w:space="0" w:color="auto"/>
      </w:divBdr>
    </w:div>
    <w:div w:id="575672026">
      <w:bodyDiv w:val="1"/>
      <w:marLeft w:val="0"/>
      <w:marRight w:val="0"/>
      <w:marTop w:val="0"/>
      <w:marBottom w:val="0"/>
      <w:divBdr>
        <w:top w:val="none" w:sz="0" w:space="0" w:color="auto"/>
        <w:left w:val="none" w:sz="0" w:space="0" w:color="auto"/>
        <w:bottom w:val="none" w:sz="0" w:space="0" w:color="auto"/>
        <w:right w:val="none" w:sz="0" w:space="0" w:color="auto"/>
      </w:divBdr>
    </w:div>
    <w:div w:id="578370768">
      <w:bodyDiv w:val="1"/>
      <w:marLeft w:val="0"/>
      <w:marRight w:val="0"/>
      <w:marTop w:val="0"/>
      <w:marBottom w:val="0"/>
      <w:divBdr>
        <w:top w:val="none" w:sz="0" w:space="0" w:color="auto"/>
        <w:left w:val="none" w:sz="0" w:space="0" w:color="auto"/>
        <w:bottom w:val="none" w:sz="0" w:space="0" w:color="auto"/>
        <w:right w:val="none" w:sz="0" w:space="0" w:color="auto"/>
      </w:divBdr>
    </w:div>
    <w:div w:id="601768671">
      <w:bodyDiv w:val="1"/>
      <w:marLeft w:val="0"/>
      <w:marRight w:val="0"/>
      <w:marTop w:val="0"/>
      <w:marBottom w:val="0"/>
      <w:divBdr>
        <w:top w:val="none" w:sz="0" w:space="0" w:color="auto"/>
        <w:left w:val="none" w:sz="0" w:space="0" w:color="auto"/>
        <w:bottom w:val="none" w:sz="0" w:space="0" w:color="auto"/>
        <w:right w:val="none" w:sz="0" w:space="0" w:color="auto"/>
      </w:divBdr>
    </w:div>
    <w:div w:id="605426927">
      <w:bodyDiv w:val="1"/>
      <w:marLeft w:val="0"/>
      <w:marRight w:val="0"/>
      <w:marTop w:val="0"/>
      <w:marBottom w:val="0"/>
      <w:divBdr>
        <w:top w:val="none" w:sz="0" w:space="0" w:color="auto"/>
        <w:left w:val="none" w:sz="0" w:space="0" w:color="auto"/>
        <w:bottom w:val="none" w:sz="0" w:space="0" w:color="auto"/>
        <w:right w:val="none" w:sz="0" w:space="0" w:color="auto"/>
      </w:divBdr>
    </w:div>
    <w:div w:id="606544781">
      <w:bodyDiv w:val="1"/>
      <w:marLeft w:val="0"/>
      <w:marRight w:val="0"/>
      <w:marTop w:val="0"/>
      <w:marBottom w:val="0"/>
      <w:divBdr>
        <w:top w:val="none" w:sz="0" w:space="0" w:color="auto"/>
        <w:left w:val="none" w:sz="0" w:space="0" w:color="auto"/>
        <w:bottom w:val="none" w:sz="0" w:space="0" w:color="auto"/>
        <w:right w:val="none" w:sz="0" w:space="0" w:color="auto"/>
      </w:divBdr>
    </w:div>
    <w:div w:id="607854255">
      <w:bodyDiv w:val="1"/>
      <w:marLeft w:val="0"/>
      <w:marRight w:val="0"/>
      <w:marTop w:val="0"/>
      <w:marBottom w:val="0"/>
      <w:divBdr>
        <w:top w:val="none" w:sz="0" w:space="0" w:color="auto"/>
        <w:left w:val="none" w:sz="0" w:space="0" w:color="auto"/>
        <w:bottom w:val="none" w:sz="0" w:space="0" w:color="auto"/>
        <w:right w:val="none" w:sz="0" w:space="0" w:color="auto"/>
      </w:divBdr>
    </w:div>
    <w:div w:id="612370490">
      <w:bodyDiv w:val="1"/>
      <w:marLeft w:val="0"/>
      <w:marRight w:val="0"/>
      <w:marTop w:val="0"/>
      <w:marBottom w:val="0"/>
      <w:divBdr>
        <w:top w:val="none" w:sz="0" w:space="0" w:color="auto"/>
        <w:left w:val="none" w:sz="0" w:space="0" w:color="auto"/>
        <w:bottom w:val="none" w:sz="0" w:space="0" w:color="auto"/>
        <w:right w:val="none" w:sz="0" w:space="0" w:color="auto"/>
      </w:divBdr>
    </w:div>
    <w:div w:id="621573877">
      <w:bodyDiv w:val="1"/>
      <w:marLeft w:val="0"/>
      <w:marRight w:val="0"/>
      <w:marTop w:val="0"/>
      <w:marBottom w:val="0"/>
      <w:divBdr>
        <w:top w:val="none" w:sz="0" w:space="0" w:color="auto"/>
        <w:left w:val="none" w:sz="0" w:space="0" w:color="auto"/>
        <w:bottom w:val="none" w:sz="0" w:space="0" w:color="auto"/>
        <w:right w:val="none" w:sz="0" w:space="0" w:color="auto"/>
      </w:divBdr>
    </w:div>
    <w:div w:id="631667854">
      <w:bodyDiv w:val="1"/>
      <w:marLeft w:val="0"/>
      <w:marRight w:val="0"/>
      <w:marTop w:val="0"/>
      <w:marBottom w:val="0"/>
      <w:divBdr>
        <w:top w:val="none" w:sz="0" w:space="0" w:color="auto"/>
        <w:left w:val="none" w:sz="0" w:space="0" w:color="auto"/>
        <w:bottom w:val="none" w:sz="0" w:space="0" w:color="auto"/>
        <w:right w:val="none" w:sz="0" w:space="0" w:color="auto"/>
      </w:divBdr>
    </w:div>
    <w:div w:id="636954216">
      <w:bodyDiv w:val="1"/>
      <w:marLeft w:val="0"/>
      <w:marRight w:val="0"/>
      <w:marTop w:val="0"/>
      <w:marBottom w:val="0"/>
      <w:divBdr>
        <w:top w:val="none" w:sz="0" w:space="0" w:color="auto"/>
        <w:left w:val="none" w:sz="0" w:space="0" w:color="auto"/>
        <w:bottom w:val="none" w:sz="0" w:space="0" w:color="auto"/>
        <w:right w:val="none" w:sz="0" w:space="0" w:color="auto"/>
      </w:divBdr>
    </w:div>
    <w:div w:id="641811804">
      <w:bodyDiv w:val="1"/>
      <w:marLeft w:val="0"/>
      <w:marRight w:val="0"/>
      <w:marTop w:val="0"/>
      <w:marBottom w:val="0"/>
      <w:divBdr>
        <w:top w:val="none" w:sz="0" w:space="0" w:color="auto"/>
        <w:left w:val="none" w:sz="0" w:space="0" w:color="auto"/>
        <w:bottom w:val="none" w:sz="0" w:space="0" w:color="auto"/>
        <w:right w:val="none" w:sz="0" w:space="0" w:color="auto"/>
      </w:divBdr>
    </w:div>
    <w:div w:id="648245643">
      <w:bodyDiv w:val="1"/>
      <w:marLeft w:val="0"/>
      <w:marRight w:val="0"/>
      <w:marTop w:val="0"/>
      <w:marBottom w:val="0"/>
      <w:divBdr>
        <w:top w:val="none" w:sz="0" w:space="0" w:color="auto"/>
        <w:left w:val="none" w:sz="0" w:space="0" w:color="auto"/>
        <w:bottom w:val="none" w:sz="0" w:space="0" w:color="auto"/>
        <w:right w:val="none" w:sz="0" w:space="0" w:color="auto"/>
      </w:divBdr>
    </w:div>
    <w:div w:id="651565297">
      <w:bodyDiv w:val="1"/>
      <w:marLeft w:val="0"/>
      <w:marRight w:val="0"/>
      <w:marTop w:val="0"/>
      <w:marBottom w:val="0"/>
      <w:divBdr>
        <w:top w:val="none" w:sz="0" w:space="0" w:color="auto"/>
        <w:left w:val="none" w:sz="0" w:space="0" w:color="auto"/>
        <w:bottom w:val="none" w:sz="0" w:space="0" w:color="auto"/>
        <w:right w:val="none" w:sz="0" w:space="0" w:color="auto"/>
      </w:divBdr>
    </w:div>
    <w:div w:id="656499405">
      <w:bodyDiv w:val="1"/>
      <w:marLeft w:val="0"/>
      <w:marRight w:val="0"/>
      <w:marTop w:val="0"/>
      <w:marBottom w:val="0"/>
      <w:divBdr>
        <w:top w:val="none" w:sz="0" w:space="0" w:color="auto"/>
        <w:left w:val="none" w:sz="0" w:space="0" w:color="auto"/>
        <w:bottom w:val="none" w:sz="0" w:space="0" w:color="auto"/>
        <w:right w:val="none" w:sz="0" w:space="0" w:color="auto"/>
      </w:divBdr>
    </w:div>
    <w:div w:id="671108435">
      <w:bodyDiv w:val="1"/>
      <w:marLeft w:val="0"/>
      <w:marRight w:val="0"/>
      <w:marTop w:val="0"/>
      <w:marBottom w:val="0"/>
      <w:divBdr>
        <w:top w:val="none" w:sz="0" w:space="0" w:color="auto"/>
        <w:left w:val="none" w:sz="0" w:space="0" w:color="auto"/>
        <w:bottom w:val="none" w:sz="0" w:space="0" w:color="auto"/>
        <w:right w:val="none" w:sz="0" w:space="0" w:color="auto"/>
      </w:divBdr>
    </w:div>
    <w:div w:id="672877737">
      <w:bodyDiv w:val="1"/>
      <w:marLeft w:val="0"/>
      <w:marRight w:val="0"/>
      <w:marTop w:val="0"/>
      <w:marBottom w:val="0"/>
      <w:divBdr>
        <w:top w:val="none" w:sz="0" w:space="0" w:color="auto"/>
        <w:left w:val="none" w:sz="0" w:space="0" w:color="auto"/>
        <w:bottom w:val="none" w:sz="0" w:space="0" w:color="auto"/>
        <w:right w:val="none" w:sz="0" w:space="0" w:color="auto"/>
      </w:divBdr>
    </w:div>
    <w:div w:id="674456251">
      <w:bodyDiv w:val="1"/>
      <w:marLeft w:val="0"/>
      <w:marRight w:val="0"/>
      <w:marTop w:val="0"/>
      <w:marBottom w:val="0"/>
      <w:divBdr>
        <w:top w:val="none" w:sz="0" w:space="0" w:color="auto"/>
        <w:left w:val="none" w:sz="0" w:space="0" w:color="auto"/>
        <w:bottom w:val="none" w:sz="0" w:space="0" w:color="auto"/>
        <w:right w:val="none" w:sz="0" w:space="0" w:color="auto"/>
      </w:divBdr>
    </w:div>
    <w:div w:id="678895800">
      <w:bodyDiv w:val="1"/>
      <w:marLeft w:val="0"/>
      <w:marRight w:val="0"/>
      <w:marTop w:val="0"/>
      <w:marBottom w:val="0"/>
      <w:divBdr>
        <w:top w:val="none" w:sz="0" w:space="0" w:color="auto"/>
        <w:left w:val="none" w:sz="0" w:space="0" w:color="auto"/>
        <w:bottom w:val="none" w:sz="0" w:space="0" w:color="auto"/>
        <w:right w:val="none" w:sz="0" w:space="0" w:color="auto"/>
      </w:divBdr>
    </w:div>
    <w:div w:id="693532020">
      <w:bodyDiv w:val="1"/>
      <w:marLeft w:val="0"/>
      <w:marRight w:val="0"/>
      <w:marTop w:val="0"/>
      <w:marBottom w:val="0"/>
      <w:divBdr>
        <w:top w:val="none" w:sz="0" w:space="0" w:color="auto"/>
        <w:left w:val="none" w:sz="0" w:space="0" w:color="auto"/>
        <w:bottom w:val="none" w:sz="0" w:space="0" w:color="auto"/>
        <w:right w:val="none" w:sz="0" w:space="0" w:color="auto"/>
      </w:divBdr>
    </w:div>
    <w:div w:id="695347497">
      <w:bodyDiv w:val="1"/>
      <w:marLeft w:val="0"/>
      <w:marRight w:val="0"/>
      <w:marTop w:val="0"/>
      <w:marBottom w:val="0"/>
      <w:divBdr>
        <w:top w:val="none" w:sz="0" w:space="0" w:color="auto"/>
        <w:left w:val="none" w:sz="0" w:space="0" w:color="auto"/>
        <w:bottom w:val="none" w:sz="0" w:space="0" w:color="auto"/>
        <w:right w:val="none" w:sz="0" w:space="0" w:color="auto"/>
      </w:divBdr>
    </w:div>
    <w:div w:id="699283666">
      <w:bodyDiv w:val="1"/>
      <w:marLeft w:val="0"/>
      <w:marRight w:val="0"/>
      <w:marTop w:val="0"/>
      <w:marBottom w:val="0"/>
      <w:divBdr>
        <w:top w:val="none" w:sz="0" w:space="0" w:color="auto"/>
        <w:left w:val="none" w:sz="0" w:space="0" w:color="auto"/>
        <w:bottom w:val="none" w:sz="0" w:space="0" w:color="auto"/>
        <w:right w:val="none" w:sz="0" w:space="0" w:color="auto"/>
      </w:divBdr>
    </w:div>
    <w:div w:id="705368673">
      <w:bodyDiv w:val="1"/>
      <w:marLeft w:val="0"/>
      <w:marRight w:val="0"/>
      <w:marTop w:val="0"/>
      <w:marBottom w:val="0"/>
      <w:divBdr>
        <w:top w:val="none" w:sz="0" w:space="0" w:color="auto"/>
        <w:left w:val="none" w:sz="0" w:space="0" w:color="auto"/>
        <w:bottom w:val="none" w:sz="0" w:space="0" w:color="auto"/>
        <w:right w:val="none" w:sz="0" w:space="0" w:color="auto"/>
      </w:divBdr>
    </w:div>
    <w:div w:id="706485494">
      <w:bodyDiv w:val="1"/>
      <w:marLeft w:val="0"/>
      <w:marRight w:val="0"/>
      <w:marTop w:val="0"/>
      <w:marBottom w:val="0"/>
      <w:divBdr>
        <w:top w:val="none" w:sz="0" w:space="0" w:color="auto"/>
        <w:left w:val="none" w:sz="0" w:space="0" w:color="auto"/>
        <w:bottom w:val="none" w:sz="0" w:space="0" w:color="auto"/>
        <w:right w:val="none" w:sz="0" w:space="0" w:color="auto"/>
      </w:divBdr>
    </w:div>
    <w:div w:id="712459840">
      <w:bodyDiv w:val="1"/>
      <w:marLeft w:val="0"/>
      <w:marRight w:val="0"/>
      <w:marTop w:val="0"/>
      <w:marBottom w:val="0"/>
      <w:divBdr>
        <w:top w:val="none" w:sz="0" w:space="0" w:color="auto"/>
        <w:left w:val="none" w:sz="0" w:space="0" w:color="auto"/>
        <w:bottom w:val="none" w:sz="0" w:space="0" w:color="auto"/>
        <w:right w:val="none" w:sz="0" w:space="0" w:color="auto"/>
      </w:divBdr>
    </w:div>
    <w:div w:id="727728723">
      <w:bodyDiv w:val="1"/>
      <w:marLeft w:val="0"/>
      <w:marRight w:val="0"/>
      <w:marTop w:val="0"/>
      <w:marBottom w:val="0"/>
      <w:divBdr>
        <w:top w:val="none" w:sz="0" w:space="0" w:color="auto"/>
        <w:left w:val="none" w:sz="0" w:space="0" w:color="auto"/>
        <w:bottom w:val="none" w:sz="0" w:space="0" w:color="auto"/>
        <w:right w:val="none" w:sz="0" w:space="0" w:color="auto"/>
      </w:divBdr>
    </w:div>
    <w:div w:id="729036329">
      <w:bodyDiv w:val="1"/>
      <w:marLeft w:val="0"/>
      <w:marRight w:val="0"/>
      <w:marTop w:val="0"/>
      <w:marBottom w:val="0"/>
      <w:divBdr>
        <w:top w:val="none" w:sz="0" w:space="0" w:color="auto"/>
        <w:left w:val="none" w:sz="0" w:space="0" w:color="auto"/>
        <w:bottom w:val="none" w:sz="0" w:space="0" w:color="auto"/>
        <w:right w:val="none" w:sz="0" w:space="0" w:color="auto"/>
      </w:divBdr>
    </w:div>
    <w:div w:id="732849326">
      <w:bodyDiv w:val="1"/>
      <w:marLeft w:val="0"/>
      <w:marRight w:val="0"/>
      <w:marTop w:val="0"/>
      <w:marBottom w:val="0"/>
      <w:divBdr>
        <w:top w:val="none" w:sz="0" w:space="0" w:color="auto"/>
        <w:left w:val="none" w:sz="0" w:space="0" w:color="auto"/>
        <w:bottom w:val="none" w:sz="0" w:space="0" w:color="auto"/>
        <w:right w:val="none" w:sz="0" w:space="0" w:color="auto"/>
      </w:divBdr>
    </w:div>
    <w:div w:id="748697378">
      <w:bodyDiv w:val="1"/>
      <w:marLeft w:val="0"/>
      <w:marRight w:val="0"/>
      <w:marTop w:val="0"/>
      <w:marBottom w:val="0"/>
      <w:divBdr>
        <w:top w:val="none" w:sz="0" w:space="0" w:color="auto"/>
        <w:left w:val="none" w:sz="0" w:space="0" w:color="auto"/>
        <w:bottom w:val="none" w:sz="0" w:space="0" w:color="auto"/>
        <w:right w:val="none" w:sz="0" w:space="0" w:color="auto"/>
      </w:divBdr>
    </w:div>
    <w:div w:id="751122777">
      <w:bodyDiv w:val="1"/>
      <w:marLeft w:val="0"/>
      <w:marRight w:val="0"/>
      <w:marTop w:val="0"/>
      <w:marBottom w:val="0"/>
      <w:divBdr>
        <w:top w:val="none" w:sz="0" w:space="0" w:color="auto"/>
        <w:left w:val="none" w:sz="0" w:space="0" w:color="auto"/>
        <w:bottom w:val="none" w:sz="0" w:space="0" w:color="auto"/>
        <w:right w:val="none" w:sz="0" w:space="0" w:color="auto"/>
      </w:divBdr>
    </w:div>
    <w:div w:id="751243041">
      <w:bodyDiv w:val="1"/>
      <w:marLeft w:val="0"/>
      <w:marRight w:val="0"/>
      <w:marTop w:val="0"/>
      <w:marBottom w:val="0"/>
      <w:divBdr>
        <w:top w:val="none" w:sz="0" w:space="0" w:color="auto"/>
        <w:left w:val="none" w:sz="0" w:space="0" w:color="auto"/>
        <w:bottom w:val="none" w:sz="0" w:space="0" w:color="auto"/>
        <w:right w:val="none" w:sz="0" w:space="0" w:color="auto"/>
      </w:divBdr>
    </w:div>
    <w:div w:id="760184014">
      <w:bodyDiv w:val="1"/>
      <w:marLeft w:val="0"/>
      <w:marRight w:val="0"/>
      <w:marTop w:val="0"/>
      <w:marBottom w:val="0"/>
      <w:divBdr>
        <w:top w:val="none" w:sz="0" w:space="0" w:color="auto"/>
        <w:left w:val="none" w:sz="0" w:space="0" w:color="auto"/>
        <w:bottom w:val="none" w:sz="0" w:space="0" w:color="auto"/>
        <w:right w:val="none" w:sz="0" w:space="0" w:color="auto"/>
      </w:divBdr>
    </w:div>
    <w:div w:id="762142002">
      <w:bodyDiv w:val="1"/>
      <w:marLeft w:val="0"/>
      <w:marRight w:val="0"/>
      <w:marTop w:val="0"/>
      <w:marBottom w:val="0"/>
      <w:divBdr>
        <w:top w:val="none" w:sz="0" w:space="0" w:color="auto"/>
        <w:left w:val="none" w:sz="0" w:space="0" w:color="auto"/>
        <w:bottom w:val="none" w:sz="0" w:space="0" w:color="auto"/>
        <w:right w:val="none" w:sz="0" w:space="0" w:color="auto"/>
      </w:divBdr>
    </w:div>
    <w:div w:id="768543853">
      <w:bodyDiv w:val="1"/>
      <w:marLeft w:val="0"/>
      <w:marRight w:val="0"/>
      <w:marTop w:val="0"/>
      <w:marBottom w:val="0"/>
      <w:divBdr>
        <w:top w:val="none" w:sz="0" w:space="0" w:color="auto"/>
        <w:left w:val="none" w:sz="0" w:space="0" w:color="auto"/>
        <w:bottom w:val="none" w:sz="0" w:space="0" w:color="auto"/>
        <w:right w:val="none" w:sz="0" w:space="0" w:color="auto"/>
      </w:divBdr>
    </w:div>
    <w:div w:id="780422373">
      <w:bodyDiv w:val="1"/>
      <w:marLeft w:val="0"/>
      <w:marRight w:val="0"/>
      <w:marTop w:val="0"/>
      <w:marBottom w:val="0"/>
      <w:divBdr>
        <w:top w:val="none" w:sz="0" w:space="0" w:color="auto"/>
        <w:left w:val="none" w:sz="0" w:space="0" w:color="auto"/>
        <w:bottom w:val="none" w:sz="0" w:space="0" w:color="auto"/>
        <w:right w:val="none" w:sz="0" w:space="0" w:color="auto"/>
      </w:divBdr>
    </w:div>
    <w:div w:id="786851854">
      <w:bodyDiv w:val="1"/>
      <w:marLeft w:val="0"/>
      <w:marRight w:val="0"/>
      <w:marTop w:val="0"/>
      <w:marBottom w:val="0"/>
      <w:divBdr>
        <w:top w:val="none" w:sz="0" w:space="0" w:color="auto"/>
        <w:left w:val="none" w:sz="0" w:space="0" w:color="auto"/>
        <w:bottom w:val="none" w:sz="0" w:space="0" w:color="auto"/>
        <w:right w:val="none" w:sz="0" w:space="0" w:color="auto"/>
      </w:divBdr>
    </w:div>
    <w:div w:id="790516327">
      <w:bodyDiv w:val="1"/>
      <w:marLeft w:val="0"/>
      <w:marRight w:val="0"/>
      <w:marTop w:val="0"/>
      <w:marBottom w:val="0"/>
      <w:divBdr>
        <w:top w:val="none" w:sz="0" w:space="0" w:color="auto"/>
        <w:left w:val="none" w:sz="0" w:space="0" w:color="auto"/>
        <w:bottom w:val="none" w:sz="0" w:space="0" w:color="auto"/>
        <w:right w:val="none" w:sz="0" w:space="0" w:color="auto"/>
      </w:divBdr>
    </w:div>
    <w:div w:id="796339524">
      <w:bodyDiv w:val="1"/>
      <w:marLeft w:val="0"/>
      <w:marRight w:val="0"/>
      <w:marTop w:val="0"/>
      <w:marBottom w:val="0"/>
      <w:divBdr>
        <w:top w:val="none" w:sz="0" w:space="0" w:color="auto"/>
        <w:left w:val="none" w:sz="0" w:space="0" w:color="auto"/>
        <w:bottom w:val="none" w:sz="0" w:space="0" w:color="auto"/>
        <w:right w:val="none" w:sz="0" w:space="0" w:color="auto"/>
      </w:divBdr>
    </w:div>
    <w:div w:id="799764138">
      <w:bodyDiv w:val="1"/>
      <w:marLeft w:val="0"/>
      <w:marRight w:val="0"/>
      <w:marTop w:val="0"/>
      <w:marBottom w:val="0"/>
      <w:divBdr>
        <w:top w:val="none" w:sz="0" w:space="0" w:color="auto"/>
        <w:left w:val="none" w:sz="0" w:space="0" w:color="auto"/>
        <w:bottom w:val="none" w:sz="0" w:space="0" w:color="auto"/>
        <w:right w:val="none" w:sz="0" w:space="0" w:color="auto"/>
      </w:divBdr>
    </w:div>
    <w:div w:id="806707229">
      <w:bodyDiv w:val="1"/>
      <w:marLeft w:val="0"/>
      <w:marRight w:val="0"/>
      <w:marTop w:val="0"/>
      <w:marBottom w:val="0"/>
      <w:divBdr>
        <w:top w:val="none" w:sz="0" w:space="0" w:color="auto"/>
        <w:left w:val="none" w:sz="0" w:space="0" w:color="auto"/>
        <w:bottom w:val="none" w:sz="0" w:space="0" w:color="auto"/>
        <w:right w:val="none" w:sz="0" w:space="0" w:color="auto"/>
      </w:divBdr>
    </w:div>
    <w:div w:id="810026131">
      <w:bodyDiv w:val="1"/>
      <w:marLeft w:val="0"/>
      <w:marRight w:val="0"/>
      <w:marTop w:val="0"/>
      <w:marBottom w:val="0"/>
      <w:divBdr>
        <w:top w:val="none" w:sz="0" w:space="0" w:color="auto"/>
        <w:left w:val="none" w:sz="0" w:space="0" w:color="auto"/>
        <w:bottom w:val="none" w:sz="0" w:space="0" w:color="auto"/>
        <w:right w:val="none" w:sz="0" w:space="0" w:color="auto"/>
      </w:divBdr>
    </w:div>
    <w:div w:id="823011872">
      <w:bodyDiv w:val="1"/>
      <w:marLeft w:val="0"/>
      <w:marRight w:val="0"/>
      <w:marTop w:val="0"/>
      <w:marBottom w:val="0"/>
      <w:divBdr>
        <w:top w:val="none" w:sz="0" w:space="0" w:color="auto"/>
        <w:left w:val="none" w:sz="0" w:space="0" w:color="auto"/>
        <w:bottom w:val="none" w:sz="0" w:space="0" w:color="auto"/>
        <w:right w:val="none" w:sz="0" w:space="0" w:color="auto"/>
      </w:divBdr>
    </w:div>
    <w:div w:id="831066241">
      <w:bodyDiv w:val="1"/>
      <w:marLeft w:val="0"/>
      <w:marRight w:val="0"/>
      <w:marTop w:val="0"/>
      <w:marBottom w:val="0"/>
      <w:divBdr>
        <w:top w:val="none" w:sz="0" w:space="0" w:color="auto"/>
        <w:left w:val="none" w:sz="0" w:space="0" w:color="auto"/>
        <w:bottom w:val="none" w:sz="0" w:space="0" w:color="auto"/>
        <w:right w:val="none" w:sz="0" w:space="0" w:color="auto"/>
      </w:divBdr>
    </w:div>
    <w:div w:id="857282129">
      <w:bodyDiv w:val="1"/>
      <w:marLeft w:val="0"/>
      <w:marRight w:val="0"/>
      <w:marTop w:val="0"/>
      <w:marBottom w:val="0"/>
      <w:divBdr>
        <w:top w:val="none" w:sz="0" w:space="0" w:color="auto"/>
        <w:left w:val="none" w:sz="0" w:space="0" w:color="auto"/>
        <w:bottom w:val="none" w:sz="0" w:space="0" w:color="auto"/>
        <w:right w:val="none" w:sz="0" w:space="0" w:color="auto"/>
      </w:divBdr>
    </w:div>
    <w:div w:id="860895034">
      <w:bodyDiv w:val="1"/>
      <w:marLeft w:val="0"/>
      <w:marRight w:val="0"/>
      <w:marTop w:val="0"/>
      <w:marBottom w:val="0"/>
      <w:divBdr>
        <w:top w:val="none" w:sz="0" w:space="0" w:color="auto"/>
        <w:left w:val="none" w:sz="0" w:space="0" w:color="auto"/>
        <w:bottom w:val="none" w:sz="0" w:space="0" w:color="auto"/>
        <w:right w:val="none" w:sz="0" w:space="0" w:color="auto"/>
      </w:divBdr>
    </w:div>
    <w:div w:id="862549051">
      <w:bodyDiv w:val="1"/>
      <w:marLeft w:val="0"/>
      <w:marRight w:val="0"/>
      <w:marTop w:val="0"/>
      <w:marBottom w:val="0"/>
      <w:divBdr>
        <w:top w:val="none" w:sz="0" w:space="0" w:color="auto"/>
        <w:left w:val="none" w:sz="0" w:space="0" w:color="auto"/>
        <w:bottom w:val="none" w:sz="0" w:space="0" w:color="auto"/>
        <w:right w:val="none" w:sz="0" w:space="0" w:color="auto"/>
      </w:divBdr>
    </w:div>
    <w:div w:id="868101962">
      <w:bodyDiv w:val="1"/>
      <w:marLeft w:val="0"/>
      <w:marRight w:val="0"/>
      <w:marTop w:val="0"/>
      <w:marBottom w:val="0"/>
      <w:divBdr>
        <w:top w:val="none" w:sz="0" w:space="0" w:color="auto"/>
        <w:left w:val="none" w:sz="0" w:space="0" w:color="auto"/>
        <w:bottom w:val="none" w:sz="0" w:space="0" w:color="auto"/>
        <w:right w:val="none" w:sz="0" w:space="0" w:color="auto"/>
      </w:divBdr>
    </w:div>
    <w:div w:id="869223097">
      <w:bodyDiv w:val="1"/>
      <w:marLeft w:val="0"/>
      <w:marRight w:val="0"/>
      <w:marTop w:val="0"/>
      <w:marBottom w:val="0"/>
      <w:divBdr>
        <w:top w:val="none" w:sz="0" w:space="0" w:color="auto"/>
        <w:left w:val="none" w:sz="0" w:space="0" w:color="auto"/>
        <w:bottom w:val="none" w:sz="0" w:space="0" w:color="auto"/>
        <w:right w:val="none" w:sz="0" w:space="0" w:color="auto"/>
      </w:divBdr>
    </w:div>
    <w:div w:id="869420565">
      <w:bodyDiv w:val="1"/>
      <w:marLeft w:val="0"/>
      <w:marRight w:val="0"/>
      <w:marTop w:val="0"/>
      <w:marBottom w:val="0"/>
      <w:divBdr>
        <w:top w:val="none" w:sz="0" w:space="0" w:color="auto"/>
        <w:left w:val="none" w:sz="0" w:space="0" w:color="auto"/>
        <w:bottom w:val="none" w:sz="0" w:space="0" w:color="auto"/>
        <w:right w:val="none" w:sz="0" w:space="0" w:color="auto"/>
      </w:divBdr>
    </w:div>
    <w:div w:id="870189526">
      <w:bodyDiv w:val="1"/>
      <w:marLeft w:val="0"/>
      <w:marRight w:val="0"/>
      <w:marTop w:val="0"/>
      <w:marBottom w:val="0"/>
      <w:divBdr>
        <w:top w:val="none" w:sz="0" w:space="0" w:color="auto"/>
        <w:left w:val="none" w:sz="0" w:space="0" w:color="auto"/>
        <w:bottom w:val="none" w:sz="0" w:space="0" w:color="auto"/>
        <w:right w:val="none" w:sz="0" w:space="0" w:color="auto"/>
      </w:divBdr>
    </w:div>
    <w:div w:id="873887879">
      <w:bodyDiv w:val="1"/>
      <w:marLeft w:val="0"/>
      <w:marRight w:val="0"/>
      <w:marTop w:val="0"/>
      <w:marBottom w:val="0"/>
      <w:divBdr>
        <w:top w:val="none" w:sz="0" w:space="0" w:color="auto"/>
        <w:left w:val="none" w:sz="0" w:space="0" w:color="auto"/>
        <w:bottom w:val="none" w:sz="0" w:space="0" w:color="auto"/>
        <w:right w:val="none" w:sz="0" w:space="0" w:color="auto"/>
      </w:divBdr>
    </w:div>
    <w:div w:id="889726599">
      <w:bodyDiv w:val="1"/>
      <w:marLeft w:val="0"/>
      <w:marRight w:val="0"/>
      <w:marTop w:val="0"/>
      <w:marBottom w:val="0"/>
      <w:divBdr>
        <w:top w:val="none" w:sz="0" w:space="0" w:color="auto"/>
        <w:left w:val="none" w:sz="0" w:space="0" w:color="auto"/>
        <w:bottom w:val="none" w:sz="0" w:space="0" w:color="auto"/>
        <w:right w:val="none" w:sz="0" w:space="0" w:color="auto"/>
      </w:divBdr>
    </w:div>
    <w:div w:id="916982452">
      <w:bodyDiv w:val="1"/>
      <w:marLeft w:val="0"/>
      <w:marRight w:val="0"/>
      <w:marTop w:val="0"/>
      <w:marBottom w:val="0"/>
      <w:divBdr>
        <w:top w:val="none" w:sz="0" w:space="0" w:color="auto"/>
        <w:left w:val="none" w:sz="0" w:space="0" w:color="auto"/>
        <w:bottom w:val="none" w:sz="0" w:space="0" w:color="auto"/>
        <w:right w:val="none" w:sz="0" w:space="0" w:color="auto"/>
      </w:divBdr>
    </w:div>
    <w:div w:id="921178080">
      <w:bodyDiv w:val="1"/>
      <w:marLeft w:val="0"/>
      <w:marRight w:val="0"/>
      <w:marTop w:val="0"/>
      <w:marBottom w:val="0"/>
      <w:divBdr>
        <w:top w:val="none" w:sz="0" w:space="0" w:color="auto"/>
        <w:left w:val="none" w:sz="0" w:space="0" w:color="auto"/>
        <w:bottom w:val="none" w:sz="0" w:space="0" w:color="auto"/>
        <w:right w:val="none" w:sz="0" w:space="0" w:color="auto"/>
      </w:divBdr>
    </w:div>
    <w:div w:id="926579096">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44119226">
      <w:bodyDiv w:val="1"/>
      <w:marLeft w:val="0"/>
      <w:marRight w:val="0"/>
      <w:marTop w:val="0"/>
      <w:marBottom w:val="0"/>
      <w:divBdr>
        <w:top w:val="none" w:sz="0" w:space="0" w:color="auto"/>
        <w:left w:val="none" w:sz="0" w:space="0" w:color="auto"/>
        <w:bottom w:val="none" w:sz="0" w:space="0" w:color="auto"/>
        <w:right w:val="none" w:sz="0" w:space="0" w:color="auto"/>
      </w:divBdr>
    </w:div>
    <w:div w:id="949315530">
      <w:bodyDiv w:val="1"/>
      <w:marLeft w:val="0"/>
      <w:marRight w:val="0"/>
      <w:marTop w:val="0"/>
      <w:marBottom w:val="0"/>
      <w:divBdr>
        <w:top w:val="none" w:sz="0" w:space="0" w:color="auto"/>
        <w:left w:val="none" w:sz="0" w:space="0" w:color="auto"/>
        <w:bottom w:val="none" w:sz="0" w:space="0" w:color="auto"/>
        <w:right w:val="none" w:sz="0" w:space="0" w:color="auto"/>
      </w:divBdr>
    </w:div>
    <w:div w:id="957495194">
      <w:bodyDiv w:val="1"/>
      <w:marLeft w:val="0"/>
      <w:marRight w:val="0"/>
      <w:marTop w:val="0"/>
      <w:marBottom w:val="0"/>
      <w:divBdr>
        <w:top w:val="none" w:sz="0" w:space="0" w:color="auto"/>
        <w:left w:val="none" w:sz="0" w:space="0" w:color="auto"/>
        <w:bottom w:val="none" w:sz="0" w:space="0" w:color="auto"/>
        <w:right w:val="none" w:sz="0" w:space="0" w:color="auto"/>
      </w:divBdr>
    </w:div>
    <w:div w:id="963997707">
      <w:bodyDiv w:val="1"/>
      <w:marLeft w:val="0"/>
      <w:marRight w:val="0"/>
      <w:marTop w:val="0"/>
      <w:marBottom w:val="0"/>
      <w:divBdr>
        <w:top w:val="none" w:sz="0" w:space="0" w:color="auto"/>
        <w:left w:val="none" w:sz="0" w:space="0" w:color="auto"/>
        <w:bottom w:val="none" w:sz="0" w:space="0" w:color="auto"/>
        <w:right w:val="none" w:sz="0" w:space="0" w:color="auto"/>
      </w:divBdr>
    </w:div>
    <w:div w:id="964895031">
      <w:bodyDiv w:val="1"/>
      <w:marLeft w:val="0"/>
      <w:marRight w:val="0"/>
      <w:marTop w:val="0"/>
      <w:marBottom w:val="0"/>
      <w:divBdr>
        <w:top w:val="none" w:sz="0" w:space="0" w:color="auto"/>
        <w:left w:val="none" w:sz="0" w:space="0" w:color="auto"/>
        <w:bottom w:val="none" w:sz="0" w:space="0" w:color="auto"/>
        <w:right w:val="none" w:sz="0" w:space="0" w:color="auto"/>
      </w:divBdr>
    </w:div>
    <w:div w:id="971786352">
      <w:bodyDiv w:val="1"/>
      <w:marLeft w:val="0"/>
      <w:marRight w:val="0"/>
      <w:marTop w:val="0"/>
      <w:marBottom w:val="0"/>
      <w:divBdr>
        <w:top w:val="none" w:sz="0" w:space="0" w:color="auto"/>
        <w:left w:val="none" w:sz="0" w:space="0" w:color="auto"/>
        <w:bottom w:val="none" w:sz="0" w:space="0" w:color="auto"/>
        <w:right w:val="none" w:sz="0" w:space="0" w:color="auto"/>
      </w:divBdr>
    </w:div>
    <w:div w:id="991905887">
      <w:bodyDiv w:val="1"/>
      <w:marLeft w:val="0"/>
      <w:marRight w:val="0"/>
      <w:marTop w:val="0"/>
      <w:marBottom w:val="0"/>
      <w:divBdr>
        <w:top w:val="none" w:sz="0" w:space="0" w:color="auto"/>
        <w:left w:val="none" w:sz="0" w:space="0" w:color="auto"/>
        <w:bottom w:val="none" w:sz="0" w:space="0" w:color="auto"/>
        <w:right w:val="none" w:sz="0" w:space="0" w:color="auto"/>
      </w:divBdr>
    </w:div>
    <w:div w:id="1010988618">
      <w:bodyDiv w:val="1"/>
      <w:marLeft w:val="0"/>
      <w:marRight w:val="0"/>
      <w:marTop w:val="0"/>
      <w:marBottom w:val="0"/>
      <w:divBdr>
        <w:top w:val="none" w:sz="0" w:space="0" w:color="auto"/>
        <w:left w:val="none" w:sz="0" w:space="0" w:color="auto"/>
        <w:bottom w:val="none" w:sz="0" w:space="0" w:color="auto"/>
        <w:right w:val="none" w:sz="0" w:space="0" w:color="auto"/>
      </w:divBdr>
    </w:div>
    <w:div w:id="1018889435">
      <w:bodyDiv w:val="1"/>
      <w:marLeft w:val="0"/>
      <w:marRight w:val="0"/>
      <w:marTop w:val="0"/>
      <w:marBottom w:val="0"/>
      <w:divBdr>
        <w:top w:val="none" w:sz="0" w:space="0" w:color="auto"/>
        <w:left w:val="none" w:sz="0" w:space="0" w:color="auto"/>
        <w:bottom w:val="none" w:sz="0" w:space="0" w:color="auto"/>
        <w:right w:val="none" w:sz="0" w:space="0" w:color="auto"/>
      </w:divBdr>
    </w:div>
    <w:div w:id="1023477584">
      <w:bodyDiv w:val="1"/>
      <w:marLeft w:val="0"/>
      <w:marRight w:val="0"/>
      <w:marTop w:val="0"/>
      <w:marBottom w:val="0"/>
      <w:divBdr>
        <w:top w:val="none" w:sz="0" w:space="0" w:color="auto"/>
        <w:left w:val="none" w:sz="0" w:space="0" w:color="auto"/>
        <w:bottom w:val="none" w:sz="0" w:space="0" w:color="auto"/>
        <w:right w:val="none" w:sz="0" w:space="0" w:color="auto"/>
      </w:divBdr>
    </w:div>
    <w:div w:id="1025207841">
      <w:bodyDiv w:val="1"/>
      <w:marLeft w:val="0"/>
      <w:marRight w:val="0"/>
      <w:marTop w:val="0"/>
      <w:marBottom w:val="0"/>
      <w:divBdr>
        <w:top w:val="none" w:sz="0" w:space="0" w:color="auto"/>
        <w:left w:val="none" w:sz="0" w:space="0" w:color="auto"/>
        <w:bottom w:val="none" w:sz="0" w:space="0" w:color="auto"/>
        <w:right w:val="none" w:sz="0" w:space="0" w:color="auto"/>
      </w:divBdr>
    </w:div>
    <w:div w:id="1033968246">
      <w:bodyDiv w:val="1"/>
      <w:marLeft w:val="0"/>
      <w:marRight w:val="0"/>
      <w:marTop w:val="0"/>
      <w:marBottom w:val="0"/>
      <w:divBdr>
        <w:top w:val="none" w:sz="0" w:space="0" w:color="auto"/>
        <w:left w:val="none" w:sz="0" w:space="0" w:color="auto"/>
        <w:bottom w:val="none" w:sz="0" w:space="0" w:color="auto"/>
        <w:right w:val="none" w:sz="0" w:space="0" w:color="auto"/>
      </w:divBdr>
    </w:div>
    <w:div w:id="1037119006">
      <w:bodyDiv w:val="1"/>
      <w:marLeft w:val="0"/>
      <w:marRight w:val="0"/>
      <w:marTop w:val="0"/>
      <w:marBottom w:val="0"/>
      <w:divBdr>
        <w:top w:val="none" w:sz="0" w:space="0" w:color="auto"/>
        <w:left w:val="none" w:sz="0" w:space="0" w:color="auto"/>
        <w:bottom w:val="none" w:sz="0" w:space="0" w:color="auto"/>
        <w:right w:val="none" w:sz="0" w:space="0" w:color="auto"/>
      </w:divBdr>
    </w:div>
    <w:div w:id="1043210726">
      <w:bodyDiv w:val="1"/>
      <w:marLeft w:val="0"/>
      <w:marRight w:val="0"/>
      <w:marTop w:val="0"/>
      <w:marBottom w:val="0"/>
      <w:divBdr>
        <w:top w:val="none" w:sz="0" w:space="0" w:color="auto"/>
        <w:left w:val="none" w:sz="0" w:space="0" w:color="auto"/>
        <w:bottom w:val="none" w:sz="0" w:space="0" w:color="auto"/>
        <w:right w:val="none" w:sz="0" w:space="0" w:color="auto"/>
      </w:divBdr>
    </w:div>
    <w:div w:id="1046951120">
      <w:bodyDiv w:val="1"/>
      <w:marLeft w:val="0"/>
      <w:marRight w:val="0"/>
      <w:marTop w:val="0"/>
      <w:marBottom w:val="0"/>
      <w:divBdr>
        <w:top w:val="none" w:sz="0" w:space="0" w:color="auto"/>
        <w:left w:val="none" w:sz="0" w:space="0" w:color="auto"/>
        <w:bottom w:val="none" w:sz="0" w:space="0" w:color="auto"/>
        <w:right w:val="none" w:sz="0" w:space="0" w:color="auto"/>
      </w:divBdr>
    </w:div>
    <w:div w:id="1064522105">
      <w:bodyDiv w:val="1"/>
      <w:marLeft w:val="0"/>
      <w:marRight w:val="0"/>
      <w:marTop w:val="0"/>
      <w:marBottom w:val="0"/>
      <w:divBdr>
        <w:top w:val="none" w:sz="0" w:space="0" w:color="auto"/>
        <w:left w:val="none" w:sz="0" w:space="0" w:color="auto"/>
        <w:bottom w:val="none" w:sz="0" w:space="0" w:color="auto"/>
        <w:right w:val="none" w:sz="0" w:space="0" w:color="auto"/>
      </w:divBdr>
    </w:div>
    <w:div w:id="1138496240">
      <w:bodyDiv w:val="1"/>
      <w:marLeft w:val="0"/>
      <w:marRight w:val="0"/>
      <w:marTop w:val="0"/>
      <w:marBottom w:val="0"/>
      <w:divBdr>
        <w:top w:val="none" w:sz="0" w:space="0" w:color="auto"/>
        <w:left w:val="none" w:sz="0" w:space="0" w:color="auto"/>
        <w:bottom w:val="none" w:sz="0" w:space="0" w:color="auto"/>
        <w:right w:val="none" w:sz="0" w:space="0" w:color="auto"/>
      </w:divBdr>
    </w:div>
    <w:div w:id="1169104045">
      <w:bodyDiv w:val="1"/>
      <w:marLeft w:val="0"/>
      <w:marRight w:val="0"/>
      <w:marTop w:val="0"/>
      <w:marBottom w:val="0"/>
      <w:divBdr>
        <w:top w:val="none" w:sz="0" w:space="0" w:color="auto"/>
        <w:left w:val="none" w:sz="0" w:space="0" w:color="auto"/>
        <w:bottom w:val="none" w:sz="0" w:space="0" w:color="auto"/>
        <w:right w:val="none" w:sz="0" w:space="0" w:color="auto"/>
      </w:divBdr>
    </w:div>
    <w:div w:id="1176073229">
      <w:bodyDiv w:val="1"/>
      <w:marLeft w:val="0"/>
      <w:marRight w:val="0"/>
      <w:marTop w:val="0"/>
      <w:marBottom w:val="0"/>
      <w:divBdr>
        <w:top w:val="none" w:sz="0" w:space="0" w:color="auto"/>
        <w:left w:val="none" w:sz="0" w:space="0" w:color="auto"/>
        <w:bottom w:val="none" w:sz="0" w:space="0" w:color="auto"/>
        <w:right w:val="none" w:sz="0" w:space="0" w:color="auto"/>
      </w:divBdr>
    </w:div>
    <w:div w:id="1193224273">
      <w:bodyDiv w:val="1"/>
      <w:marLeft w:val="0"/>
      <w:marRight w:val="0"/>
      <w:marTop w:val="0"/>
      <w:marBottom w:val="0"/>
      <w:divBdr>
        <w:top w:val="none" w:sz="0" w:space="0" w:color="auto"/>
        <w:left w:val="none" w:sz="0" w:space="0" w:color="auto"/>
        <w:bottom w:val="none" w:sz="0" w:space="0" w:color="auto"/>
        <w:right w:val="none" w:sz="0" w:space="0" w:color="auto"/>
      </w:divBdr>
    </w:div>
    <w:div w:id="1202940100">
      <w:bodyDiv w:val="1"/>
      <w:marLeft w:val="0"/>
      <w:marRight w:val="0"/>
      <w:marTop w:val="0"/>
      <w:marBottom w:val="0"/>
      <w:divBdr>
        <w:top w:val="none" w:sz="0" w:space="0" w:color="auto"/>
        <w:left w:val="none" w:sz="0" w:space="0" w:color="auto"/>
        <w:bottom w:val="none" w:sz="0" w:space="0" w:color="auto"/>
        <w:right w:val="none" w:sz="0" w:space="0" w:color="auto"/>
      </w:divBdr>
    </w:div>
    <w:div w:id="1226601896">
      <w:bodyDiv w:val="1"/>
      <w:marLeft w:val="0"/>
      <w:marRight w:val="0"/>
      <w:marTop w:val="0"/>
      <w:marBottom w:val="0"/>
      <w:divBdr>
        <w:top w:val="none" w:sz="0" w:space="0" w:color="auto"/>
        <w:left w:val="none" w:sz="0" w:space="0" w:color="auto"/>
        <w:bottom w:val="none" w:sz="0" w:space="0" w:color="auto"/>
        <w:right w:val="none" w:sz="0" w:space="0" w:color="auto"/>
      </w:divBdr>
    </w:div>
    <w:div w:id="1231770373">
      <w:bodyDiv w:val="1"/>
      <w:marLeft w:val="0"/>
      <w:marRight w:val="0"/>
      <w:marTop w:val="0"/>
      <w:marBottom w:val="0"/>
      <w:divBdr>
        <w:top w:val="none" w:sz="0" w:space="0" w:color="auto"/>
        <w:left w:val="none" w:sz="0" w:space="0" w:color="auto"/>
        <w:bottom w:val="none" w:sz="0" w:space="0" w:color="auto"/>
        <w:right w:val="none" w:sz="0" w:space="0" w:color="auto"/>
      </w:divBdr>
    </w:div>
    <w:div w:id="1248687722">
      <w:bodyDiv w:val="1"/>
      <w:marLeft w:val="0"/>
      <w:marRight w:val="0"/>
      <w:marTop w:val="0"/>
      <w:marBottom w:val="0"/>
      <w:divBdr>
        <w:top w:val="none" w:sz="0" w:space="0" w:color="auto"/>
        <w:left w:val="none" w:sz="0" w:space="0" w:color="auto"/>
        <w:bottom w:val="none" w:sz="0" w:space="0" w:color="auto"/>
        <w:right w:val="none" w:sz="0" w:space="0" w:color="auto"/>
      </w:divBdr>
    </w:div>
    <w:div w:id="1254363691">
      <w:bodyDiv w:val="1"/>
      <w:marLeft w:val="0"/>
      <w:marRight w:val="0"/>
      <w:marTop w:val="0"/>
      <w:marBottom w:val="0"/>
      <w:divBdr>
        <w:top w:val="none" w:sz="0" w:space="0" w:color="auto"/>
        <w:left w:val="none" w:sz="0" w:space="0" w:color="auto"/>
        <w:bottom w:val="none" w:sz="0" w:space="0" w:color="auto"/>
        <w:right w:val="none" w:sz="0" w:space="0" w:color="auto"/>
      </w:divBdr>
    </w:div>
    <w:div w:id="1257011165">
      <w:bodyDiv w:val="1"/>
      <w:marLeft w:val="0"/>
      <w:marRight w:val="0"/>
      <w:marTop w:val="0"/>
      <w:marBottom w:val="0"/>
      <w:divBdr>
        <w:top w:val="none" w:sz="0" w:space="0" w:color="auto"/>
        <w:left w:val="none" w:sz="0" w:space="0" w:color="auto"/>
        <w:bottom w:val="none" w:sz="0" w:space="0" w:color="auto"/>
        <w:right w:val="none" w:sz="0" w:space="0" w:color="auto"/>
      </w:divBdr>
    </w:div>
    <w:div w:id="1257862767">
      <w:bodyDiv w:val="1"/>
      <w:marLeft w:val="0"/>
      <w:marRight w:val="0"/>
      <w:marTop w:val="0"/>
      <w:marBottom w:val="0"/>
      <w:divBdr>
        <w:top w:val="none" w:sz="0" w:space="0" w:color="auto"/>
        <w:left w:val="none" w:sz="0" w:space="0" w:color="auto"/>
        <w:bottom w:val="none" w:sz="0" w:space="0" w:color="auto"/>
        <w:right w:val="none" w:sz="0" w:space="0" w:color="auto"/>
      </w:divBdr>
    </w:div>
    <w:div w:id="1261990659">
      <w:bodyDiv w:val="1"/>
      <w:marLeft w:val="0"/>
      <w:marRight w:val="0"/>
      <w:marTop w:val="0"/>
      <w:marBottom w:val="0"/>
      <w:divBdr>
        <w:top w:val="none" w:sz="0" w:space="0" w:color="auto"/>
        <w:left w:val="none" w:sz="0" w:space="0" w:color="auto"/>
        <w:bottom w:val="none" w:sz="0" w:space="0" w:color="auto"/>
        <w:right w:val="none" w:sz="0" w:space="0" w:color="auto"/>
      </w:divBdr>
    </w:div>
    <w:div w:id="1271858646">
      <w:bodyDiv w:val="1"/>
      <w:marLeft w:val="0"/>
      <w:marRight w:val="0"/>
      <w:marTop w:val="0"/>
      <w:marBottom w:val="0"/>
      <w:divBdr>
        <w:top w:val="none" w:sz="0" w:space="0" w:color="auto"/>
        <w:left w:val="none" w:sz="0" w:space="0" w:color="auto"/>
        <w:bottom w:val="none" w:sz="0" w:space="0" w:color="auto"/>
        <w:right w:val="none" w:sz="0" w:space="0" w:color="auto"/>
      </w:divBdr>
    </w:div>
    <w:div w:id="1275409186">
      <w:bodyDiv w:val="1"/>
      <w:marLeft w:val="0"/>
      <w:marRight w:val="0"/>
      <w:marTop w:val="0"/>
      <w:marBottom w:val="0"/>
      <w:divBdr>
        <w:top w:val="none" w:sz="0" w:space="0" w:color="auto"/>
        <w:left w:val="none" w:sz="0" w:space="0" w:color="auto"/>
        <w:bottom w:val="none" w:sz="0" w:space="0" w:color="auto"/>
        <w:right w:val="none" w:sz="0" w:space="0" w:color="auto"/>
      </w:divBdr>
    </w:div>
    <w:div w:id="1277638147">
      <w:bodyDiv w:val="1"/>
      <w:marLeft w:val="0"/>
      <w:marRight w:val="0"/>
      <w:marTop w:val="0"/>
      <w:marBottom w:val="0"/>
      <w:divBdr>
        <w:top w:val="none" w:sz="0" w:space="0" w:color="auto"/>
        <w:left w:val="none" w:sz="0" w:space="0" w:color="auto"/>
        <w:bottom w:val="none" w:sz="0" w:space="0" w:color="auto"/>
        <w:right w:val="none" w:sz="0" w:space="0" w:color="auto"/>
      </w:divBdr>
    </w:div>
    <w:div w:id="1298993183">
      <w:bodyDiv w:val="1"/>
      <w:marLeft w:val="0"/>
      <w:marRight w:val="0"/>
      <w:marTop w:val="0"/>
      <w:marBottom w:val="0"/>
      <w:divBdr>
        <w:top w:val="none" w:sz="0" w:space="0" w:color="auto"/>
        <w:left w:val="none" w:sz="0" w:space="0" w:color="auto"/>
        <w:bottom w:val="none" w:sz="0" w:space="0" w:color="auto"/>
        <w:right w:val="none" w:sz="0" w:space="0" w:color="auto"/>
      </w:divBdr>
    </w:div>
    <w:div w:id="1305620462">
      <w:bodyDiv w:val="1"/>
      <w:marLeft w:val="0"/>
      <w:marRight w:val="0"/>
      <w:marTop w:val="0"/>
      <w:marBottom w:val="0"/>
      <w:divBdr>
        <w:top w:val="none" w:sz="0" w:space="0" w:color="auto"/>
        <w:left w:val="none" w:sz="0" w:space="0" w:color="auto"/>
        <w:bottom w:val="none" w:sz="0" w:space="0" w:color="auto"/>
        <w:right w:val="none" w:sz="0" w:space="0" w:color="auto"/>
      </w:divBdr>
    </w:div>
    <w:div w:id="1322541197">
      <w:bodyDiv w:val="1"/>
      <w:marLeft w:val="0"/>
      <w:marRight w:val="0"/>
      <w:marTop w:val="0"/>
      <w:marBottom w:val="0"/>
      <w:divBdr>
        <w:top w:val="none" w:sz="0" w:space="0" w:color="auto"/>
        <w:left w:val="none" w:sz="0" w:space="0" w:color="auto"/>
        <w:bottom w:val="none" w:sz="0" w:space="0" w:color="auto"/>
        <w:right w:val="none" w:sz="0" w:space="0" w:color="auto"/>
      </w:divBdr>
    </w:div>
    <w:div w:id="1345866453">
      <w:bodyDiv w:val="1"/>
      <w:marLeft w:val="0"/>
      <w:marRight w:val="0"/>
      <w:marTop w:val="0"/>
      <w:marBottom w:val="0"/>
      <w:divBdr>
        <w:top w:val="none" w:sz="0" w:space="0" w:color="auto"/>
        <w:left w:val="none" w:sz="0" w:space="0" w:color="auto"/>
        <w:bottom w:val="none" w:sz="0" w:space="0" w:color="auto"/>
        <w:right w:val="none" w:sz="0" w:space="0" w:color="auto"/>
      </w:divBdr>
    </w:div>
    <w:div w:id="1361854746">
      <w:bodyDiv w:val="1"/>
      <w:marLeft w:val="0"/>
      <w:marRight w:val="0"/>
      <w:marTop w:val="0"/>
      <w:marBottom w:val="0"/>
      <w:divBdr>
        <w:top w:val="none" w:sz="0" w:space="0" w:color="auto"/>
        <w:left w:val="none" w:sz="0" w:space="0" w:color="auto"/>
        <w:bottom w:val="none" w:sz="0" w:space="0" w:color="auto"/>
        <w:right w:val="none" w:sz="0" w:space="0" w:color="auto"/>
      </w:divBdr>
    </w:div>
    <w:div w:id="1389262412">
      <w:bodyDiv w:val="1"/>
      <w:marLeft w:val="0"/>
      <w:marRight w:val="0"/>
      <w:marTop w:val="0"/>
      <w:marBottom w:val="0"/>
      <w:divBdr>
        <w:top w:val="none" w:sz="0" w:space="0" w:color="auto"/>
        <w:left w:val="none" w:sz="0" w:space="0" w:color="auto"/>
        <w:bottom w:val="none" w:sz="0" w:space="0" w:color="auto"/>
        <w:right w:val="none" w:sz="0" w:space="0" w:color="auto"/>
      </w:divBdr>
    </w:div>
    <w:div w:id="1389380994">
      <w:bodyDiv w:val="1"/>
      <w:marLeft w:val="0"/>
      <w:marRight w:val="0"/>
      <w:marTop w:val="0"/>
      <w:marBottom w:val="0"/>
      <w:divBdr>
        <w:top w:val="none" w:sz="0" w:space="0" w:color="auto"/>
        <w:left w:val="none" w:sz="0" w:space="0" w:color="auto"/>
        <w:bottom w:val="none" w:sz="0" w:space="0" w:color="auto"/>
        <w:right w:val="none" w:sz="0" w:space="0" w:color="auto"/>
      </w:divBdr>
    </w:div>
    <w:div w:id="1391684782">
      <w:bodyDiv w:val="1"/>
      <w:marLeft w:val="0"/>
      <w:marRight w:val="0"/>
      <w:marTop w:val="0"/>
      <w:marBottom w:val="0"/>
      <w:divBdr>
        <w:top w:val="none" w:sz="0" w:space="0" w:color="auto"/>
        <w:left w:val="none" w:sz="0" w:space="0" w:color="auto"/>
        <w:bottom w:val="none" w:sz="0" w:space="0" w:color="auto"/>
        <w:right w:val="none" w:sz="0" w:space="0" w:color="auto"/>
      </w:divBdr>
    </w:div>
    <w:div w:id="1401555879">
      <w:bodyDiv w:val="1"/>
      <w:marLeft w:val="0"/>
      <w:marRight w:val="0"/>
      <w:marTop w:val="0"/>
      <w:marBottom w:val="0"/>
      <w:divBdr>
        <w:top w:val="none" w:sz="0" w:space="0" w:color="auto"/>
        <w:left w:val="none" w:sz="0" w:space="0" w:color="auto"/>
        <w:bottom w:val="none" w:sz="0" w:space="0" w:color="auto"/>
        <w:right w:val="none" w:sz="0" w:space="0" w:color="auto"/>
      </w:divBdr>
    </w:div>
    <w:div w:id="1402021122">
      <w:bodyDiv w:val="1"/>
      <w:marLeft w:val="0"/>
      <w:marRight w:val="0"/>
      <w:marTop w:val="0"/>
      <w:marBottom w:val="0"/>
      <w:divBdr>
        <w:top w:val="none" w:sz="0" w:space="0" w:color="auto"/>
        <w:left w:val="none" w:sz="0" w:space="0" w:color="auto"/>
        <w:bottom w:val="none" w:sz="0" w:space="0" w:color="auto"/>
        <w:right w:val="none" w:sz="0" w:space="0" w:color="auto"/>
      </w:divBdr>
    </w:div>
    <w:div w:id="1403873723">
      <w:bodyDiv w:val="1"/>
      <w:marLeft w:val="0"/>
      <w:marRight w:val="0"/>
      <w:marTop w:val="0"/>
      <w:marBottom w:val="0"/>
      <w:divBdr>
        <w:top w:val="none" w:sz="0" w:space="0" w:color="auto"/>
        <w:left w:val="none" w:sz="0" w:space="0" w:color="auto"/>
        <w:bottom w:val="none" w:sz="0" w:space="0" w:color="auto"/>
        <w:right w:val="none" w:sz="0" w:space="0" w:color="auto"/>
      </w:divBdr>
    </w:div>
    <w:div w:id="1406488949">
      <w:bodyDiv w:val="1"/>
      <w:marLeft w:val="0"/>
      <w:marRight w:val="0"/>
      <w:marTop w:val="0"/>
      <w:marBottom w:val="0"/>
      <w:divBdr>
        <w:top w:val="none" w:sz="0" w:space="0" w:color="auto"/>
        <w:left w:val="none" w:sz="0" w:space="0" w:color="auto"/>
        <w:bottom w:val="none" w:sz="0" w:space="0" w:color="auto"/>
        <w:right w:val="none" w:sz="0" w:space="0" w:color="auto"/>
      </w:divBdr>
    </w:div>
    <w:div w:id="1410496136">
      <w:bodyDiv w:val="1"/>
      <w:marLeft w:val="0"/>
      <w:marRight w:val="0"/>
      <w:marTop w:val="0"/>
      <w:marBottom w:val="0"/>
      <w:divBdr>
        <w:top w:val="none" w:sz="0" w:space="0" w:color="auto"/>
        <w:left w:val="none" w:sz="0" w:space="0" w:color="auto"/>
        <w:bottom w:val="none" w:sz="0" w:space="0" w:color="auto"/>
        <w:right w:val="none" w:sz="0" w:space="0" w:color="auto"/>
      </w:divBdr>
    </w:div>
    <w:div w:id="1419672933">
      <w:bodyDiv w:val="1"/>
      <w:marLeft w:val="0"/>
      <w:marRight w:val="0"/>
      <w:marTop w:val="0"/>
      <w:marBottom w:val="0"/>
      <w:divBdr>
        <w:top w:val="none" w:sz="0" w:space="0" w:color="auto"/>
        <w:left w:val="none" w:sz="0" w:space="0" w:color="auto"/>
        <w:bottom w:val="none" w:sz="0" w:space="0" w:color="auto"/>
        <w:right w:val="none" w:sz="0" w:space="0" w:color="auto"/>
      </w:divBdr>
    </w:div>
    <w:div w:id="1427384132">
      <w:bodyDiv w:val="1"/>
      <w:marLeft w:val="0"/>
      <w:marRight w:val="0"/>
      <w:marTop w:val="0"/>
      <w:marBottom w:val="0"/>
      <w:divBdr>
        <w:top w:val="none" w:sz="0" w:space="0" w:color="auto"/>
        <w:left w:val="none" w:sz="0" w:space="0" w:color="auto"/>
        <w:bottom w:val="none" w:sz="0" w:space="0" w:color="auto"/>
        <w:right w:val="none" w:sz="0" w:space="0" w:color="auto"/>
      </w:divBdr>
    </w:div>
    <w:div w:id="1427457502">
      <w:bodyDiv w:val="1"/>
      <w:marLeft w:val="0"/>
      <w:marRight w:val="0"/>
      <w:marTop w:val="0"/>
      <w:marBottom w:val="0"/>
      <w:divBdr>
        <w:top w:val="none" w:sz="0" w:space="0" w:color="auto"/>
        <w:left w:val="none" w:sz="0" w:space="0" w:color="auto"/>
        <w:bottom w:val="none" w:sz="0" w:space="0" w:color="auto"/>
        <w:right w:val="none" w:sz="0" w:space="0" w:color="auto"/>
      </w:divBdr>
    </w:div>
    <w:div w:id="1440564070">
      <w:bodyDiv w:val="1"/>
      <w:marLeft w:val="0"/>
      <w:marRight w:val="0"/>
      <w:marTop w:val="0"/>
      <w:marBottom w:val="0"/>
      <w:divBdr>
        <w:top w:val="none" w:sz="0" w:space="0" w:color="auto"/>
        <w:left w:val="none" w:sz="0" w:space="0" w:color="auto"/>
        <w:bottom w:val="none" w:sz="0" w:space="0" w:color="auto"/>
        <w:right w:val="none" w:sz="0" w:space="0" w:color="auto"/>
      </w:divBdr>
    </w:div>
    <w:div w:id="1444838440">
      <w:bodyDiv w:val="1"/>
      <w:marLeft w:val="0"/>
      <w:marRight w:val="0"/>
      <w:marTop w:val="0"/>
      <w:marBottom w:val="0"/>
      <w:divBdr>
        <w:top w:val="none" w:sz="0" w:space="0" w:color="auto"/>
        <w:left w:val="none" w:sz="0" w:space="0" w:color="auto"/>
        <w:bottom w:val="none" w:sz="0" w:space="0" w:color="auto"/>
        <w:right w:val="none" w:sz="0" w:space="0" w:color="auto"/>
      </w:divBdr>
    </w:div>
    <w:div w:id="1450970987">
      <w:bodyDiv w:val="1"/>
      <w:marLeft w:val="0"/>
      <w:marRight w:val="0"/>
      <w:marTop w:val="0"/>
      <w:marBottom w:val="0"/>
      <w:divBdr>
        <w:top w:val="none" w:sz="0" w:space="0" w:color="auto"/>
        <w:left w:val="none" w:sz="0" w:space="0" w:color="auto"/>
        <w:bottom w:val="none" w:sz="0" w:space="0" w:color="auto"/>
        <w:right w:val="none" w:sz="0" w:space="0" w:color="auto"/>
      </w:divBdr>
    </w:div>
    <w:div w:id="1469545676">
      <w:bodyDiv w:val="1"/>
      <w:marLeft w:val="0"/>
      <w:marRight w:val="0"/>
      <w:marTop w:val="0"/>
      <w:marBottom w:val="0"/>
      <w:divBdr>
        <w:top w:val="none" w:sz="0" w:space="0" w:color="auto"/>
        <w:left w:val="none" w:sz="0" w:space="0" w:color="auto"/>
        <w:bottom w:val="none" w:sz="0" w:space="0" w:color="auto"/>
        <w:right w:val="none" w:sz="0" w:space="0" w:color="auto"/>
      </w:divBdr>
    </w:div>
    <w:div w:id="1481461781">
      <w:bodyDiv w:val="1"/>
      <w:marLeft w:val="0"/>
      <w:marRight w:val="0"/>
      <w:marTop w:val="0"/>
      <w:marBottom w:val="0"/>
      <w:divBdr>
        <w:top w:val="none" w:sz="0" w:space="0" w:color="auto"/>
        <w:left w:val="none" w:sz="0" w:space="0" w:color="auto"/>
        <w:bottom w:val="none" w:sz="0" w:space="0" w:color="auto"/>
        <w:right w:val="none" w:sz="0" w:space="0" w:color="auto"/>
      </w:divBdr>
    </w:div>
    <w:div w:id="1489513874">
      <w:bodyDiv w:val="1"/>
      <w:marLeft w:val="0"/>
      <w:marRight w:val="0"/>
      <w:marTop w:val="0"/>
      <w:marBottom w:val="0"/>
      <w:divBdr>
        <w:top w:val="none" w:sz="0" w:space="0" w:color="auto"/>
        <w:left w:val="none" w:sz="0" w:space="0" w:color="auto"/>
        <w:bottom w:val="none" w:sz="0" w:space="0" w:color="auto"/>
        <w:right w:val="none" w:sz="0" w:space="0" w:color="auto"/>
      </w:divBdr>
    </w:div>
    <w:div w:id="1495030434">
      <w:bodyDiv w:val="1"/>
      <w:marLeft w:val="0"/>
      <w:marRight w:val="0"/>
      <w:marTop w:val="0"/>
      <w:marBottom w:val="0"/>
      <w:divBdr>
        <w:top w:val="none" w:sz="0" w:space="0" w:color="auto"/>
        <w:left w:val="none" w:sz="0" w:space="0" w:color="auto"/>
        <w:bottom w:val="none" w:sz="0" w:space="0" w:color="auto"/>
        <w:right w:val="none" w:sz="0" w:space="0" w:color="auto"/>
      </w:divBdr>
    </w:div>
    <w:div w:id="1531407393">
      <w:bodyDiv w:val="1"/>
      <w:marLeft w:val="0"/>
      <w:marRight w:val="0"/>
      <w:marTop w:val="0"/>
      <w:marBottom w:val="0"/>
      <w:divBdr>
        <w:top w:val="none" w:sz="0" w:space="0" w:color="auto"/>
        <w:left w:val="none" w:sz="0" w:space="0" w:color="auto"/>
        <w:bottom w:val="none" w:sz="0" w:space="0" w:color="auto"/>
        <w:right w:val="none" w:sz="0" w:space="0" w:color="auto"/>
      </w:divBdr>
    </w:div>
    <w:div w:id="1546990807">
      <w:bodyDiv w:val="1"/>
      <w:marLeft w:val="0"/>
      <w:marRight w:val="0"/>
      <w:marTop w:val="0"/>
      <w:marBottom w:val="0"/>
      <w:divBdr>
        <w:top w:val="none" w:sz="0" w:space="0" w:color="auto"/>
        <w:left w:val="none" w:sz="0" w:space="0" w:color="auto"/>
        <w:bottom w:val="none" w:sz="0" w:space="0" w:color="auto"/>
        <w:right w:val="none" w:sz="0" w:space="0" w:color="auto"/>
      </w:divBdr>
    </w:div>
    <w:div w:id="1553034146">
      <w:bodyDiv w:val="1"/>
      <w:marLeft w:val="0"/>
      <w:marRight w:val="0"/>
      <w:marTop w:val="0"/>
      <w:marBottom w:val="0"/>
      <w:divBdr>
        <w:top w:val="none" w:sz="0" w:space="0" w:color="auto"/>
        <w:left w:val="none" w:sz="0" w:space="0" w:color="auto"/>
        <w:bottom w:val="none" w:sz="0" w:space="0" w:color="auto"/>
        <w:right w:val="none" w:sz="0" w:space="0" w:color="auto"/>
      </w:divBdr>
    </w:div>
    <w:div w:id="1568952376">
      <w:bodyDiv w:val="1"/>
      <w:marLeft w:val="0"/>
      <w:marRight w:val="0"/>
      <w:marTop w:val="0"/>
      <w:marBottom w:val="0"/>
      <w:divBdr>
        <w:top w:val="none" w:sz="0" w:space="0" w:color="auto"/>
        <w:left w:val="none" w:sz="0" w:space="0" w:color="auto"/>
        <w:bottom w:val="none" w:sz="0" w:space="0" w:color="auto"/>
        <w:right w:val="none" w:sz="0" w:space="0" w:color="auto"/>
      </w:divBdr>
    </w:div>
    <w:div w:id="1569922014">
      <w:bodyDiv w:val="1"/>
      <w:marLeft w:val="0"/>
      <w:marRight w:val="0"/>
      <w:marTop w:val="0"/>
      <w:marBottom w:val="0"/>
      <w:divBdr>
        <w:top w:val="none" w:sz="0" w:space="0" w:color="auto"/>
        <w:left w:val="none" w:sz="0" w:space="0" w:color="auto"/>
        <w:bottom w:val="none" w:sz="0" w:space="0" w:color="auto"/>
        <w:right w:val="none" w:sz="0" w:space="0" w:color="auto"/>
      </w:divBdr>
    </w:div>
    <w:div w:id="1578782500">
      <w:bodyDiv w:val="1"/>
      <w:marLeft w:val="0"/>
      <w:marRight w:val="0"/>
      <w:marTop w:val="0"/>
      <w:marBottom w:val="0"/>
      <w:divBdr>
        <w:top w:val="none" w:sz="0" w:space="0" w:color="auto"/>
        <w:left w:val="none" w:sz="0" w:space="0" w:color="auto"/>
        <w:bottom w:val="none" w:sz="0" w:space="0" w:color="auto"/>
        <w:right w:val="none" w:sz="0" w:space="0" w:color="auto"/>
      </w:divBdr>
    </w:div>
    <w:div w:id="1578830006">
      <w:bodyDiv w:val="1"/>
      <w:marLeft w:val="0"/>
      <w:marRight w:val="0"/>
      <w:marTop w:val="0"/>
      <w:marBottom w:val="0"/>
      <w:divBdr>
        <w:top w:val="none" w:sz="0" w:space="0" w:color="auto"/>
        <w:left w:val="none" w:sz="0" w:space="0" w:color="auto"/>
        <w:bottom w:val="none" w:sz="0" w:space="0" w:color="auto"/>
        <w:right w:val="none" w:sz="0" w:space="0" w:color="auto"/>
      </w:divBdr>
    </w:div>
    <w:div w:id="1588885971">
      <w:bodyDiv w:val="1"/>
      <w:marLeft w:val="0"/>
      <w:marRight w:val="0"/>
      <w:marTop w:val="0"/>
      <w:marBottom w:val="0"/>
      <w:divBdr>
        <w:top w:val="none" w:sz="0" w:space="0" w:color="auto"/>
        <w:left w:val="none" w:sz="0" w:space="0" w:color="auto"/>
        <w:bottom w:val="none" w:sz="0" w:space="0" w:color="auto"/>
        <w:right w:val="none" w:sz="0" w:space="0" w:color="auto"/>
      </w:divBdr>
    </w:div>
    <w:div w:id="1589195890">
      <w:bodyDiv w:val="1"/>
      <w:marLeft w:val="0"/>
      <w:marRight w:val="0"/>
      <w:marTop w:val="0"/>
      <w:marBottom w:val="0"/>
      <w:divBdr>
        <w:top w:val="none" w:sz="0" w:space="0" w:color="auto"/>
        <w:left w:val="none" w:sz="0" w:space="0" w:color="auto"/>
        <w:bottom w:val="none" w:sz="0" w:space="0" w:color="auto"/>
        <w:right w:val="none" w:sz="0" w:space="0" w:color="auto"/>
      </w:divBdr>
    </w:div>
    <w:div w:id="1592229307">
      <w:bodyDiv w:val="1"/>
      <w:marLeft w:val="0"/>
      <w:marRight w:val="0"/>
      <w:marTop w:val="0"/>
      <w:marBottom w:val="0"/>
      <w:divBdr>
        <w:top w:val="none" w:sz="0" w:space="0" w:color="auto"/>
        <w:left w:val="none" w:sz="0" w:space="0" w:color="auto"/>
        <w:bottom w:val="none" w:sz="0" w:space="0" w:color="auto"/>
        <w:right w:val="none" w:sz="0" w:space="0" w:color="auto"/>
      </w:divBdr>
    </w:div>
    <w:div w:id="1600025348">
      <w:bodyDiv w:val="1"/>
      <w:marLeft w:val="0"/>
      <w:marRight w:val="0"/>
      <w:marTop w:val="0"/>
      <w:marBottom w:val="0"/>
      <w:divBdr>
        <w:top w:val="none" w:sz="0" w:space="0" w:color="auto"/>
        <w:left w:val="none" w:sz="0" w:space="0" w:color="auto"/>
        <w:bottom w:val="none" w:sz="0" w:space="0" w:color="auto"/>
        <w:right w:val="none" w:sz="0" w:space="0" w:color="auto"/>
      </w:divBdr>
    </w:div>
    <w:div w:id="1603805853">
      <w:bodyDiv w:val="1"/>
      <w:marLeft w:val="0"/>
      <w:marRight w:val="0"/>
      <w:marTop w:val="0"/>
      <w:marBottom w:val="0"/>
      <w:divBdr>
        <w:top w:val="none" w:sz="0" w:space="0" w:color="auto"/>
        <w:left w:val="none" w:sz="0" w:space="0" w:color="auto"/>
        <w:bottom w:val="none" w:sz="0" w:space="0" w:color="auto"/>
        <w:right w:val="none" w:sz="0" w:space="0" w:color="auto"/>
      </w:divBdr>
    </w:div>
    <w:div w:id="1604461022">
      <w:bodyDiv w:val="1"/>
      <w:marLeft w:val="0"/>
      <w:marRight w:val="0"/>
      <w:marTop w:val="0"/>
      <w:marBottom w:val="0"/>
      <w:divBdr>
        <w:top w:val="none" w:sz="0" w:space="0" w:color="auto"/>
        <w:left w:val="none" w:sz="0" w:space="0" w:color="auto"/>
        <w:bottom w:val="none" w:sz="0" w:space="0" w:color="auto"/>
        <w:right w:val="none" w:sz="0" w:space="0" w:color="auto"/>
      </w:divBdr>
    </w:div>
    <w:div w:id="1631669540">
      <w:bodyDiv w:val="1"/>
      <w:marLeft w:val="0"/>
      <w:marRight w:val="0"/>
      <w:marTop w:val="0"/>
      <w:marBottom w:val="0"/>
      <w:divBdr>
        <w:top w:val="none" w:sz="0" w:space="0" w:color="auto"/>
        <w:left w:val="none" w:sz="0" w:space="0" w:color="auto"/>
        <w:bottom w:val="none" w:sz="0" w:space="0" w:color="auto"/>
        <w:right w:val="none" w:sz="0" w:space="0" w:color="auto"/>
      </w:divBdr>
    </w:div>
    <w:div w:id="1634677256">
      <w:bodyDiv w:val="1"/>
      <w:marLeft w:val="0"/>
      <w:marRight w:val="0"/>
      <w:marTop w:val="0"/>
      <w:marBottom w:val="0"/>
      <w:divBdr>
        <w:top w:val="none" w:sz="0" w:space="0" w:color="auto"/>
        <w:left w:val="none" w:sz="0" w:space="0" w:color="auto"/>
        <w:bottom w:val="none" w:sz="0" w:space="0" w:color="auto"/>
        <w:right w:val="none" w:sz="0" w:space="0" w:color="auto"/>
      </w:divBdr>
    </w:div>
    <w:div w:id="1646275224">
      <w:bodyDiv w:val="1"/>
      <w:marLeft w:val="0"/>
      <w:marRight w:val="0"/>
      <w:marTop w:val="0"/>
      <w:marBottom w:val="0"/>
      <w:divBdr>
        <w:top w:val="none" w:sz="0" w:space="0" w:color="auto"/>
        <w:left w:val="none" w:sz="0" w:space="0" w:color="auto"/>
        <w:bottom w:val="none" w:sz="0" w:space="0" w:color="auto"/>
        <w:right w:val="none" w:sz="0" w:space="0" w:color="auto"/>
      </w:divBdr>
    </w:div>
    <w:div w:id="1650086310">
      <w:bodyDiv w:val="1"/>
      <w:marLeft w:val="0"/>
      <w:marRight w:val="0"/>
      <w:marTop w:val="0"/>
      <w:marBottom w:val="0"/>
      <w:divBdr>
        <w:top w:val="none" w:sz="0" w:space="0" w:color="auto"/>
        <w:left w:val="none" w:sz="0" w:space="0" w:color="auto"/>
        <w:bottom w:val="none" w:sz="0" w:space="0" w:color="auto"/>
        <w:right w:val="none" w:sz="0" w:space="0" w:color="auto"/>
      </w:divBdr>
    </w:div>
    <w:div w:id="1655066181">
      <w:bodyDiv w:val="1"/>
      <w:marLeft w:val="0"/>
      <w:marRight w:val="0"/>
      <w:marTop w:val="0"/>
      <w:marBottom w:val="0"/>
      <w:divBdr>
        <w:top w:val="none" w:sz="0" w:space="0" w:color="auto"/>
        <w:left w:val="none" w:sz="0" w:space="0" w:color="auto"/>
        <w:bottom w:val="none" w:sz="0" w:space="0" w:color="auto"/>
        <w:right w:val="none" w:sz="0" w:space="0" w:color="auto"/>
      </w:divBdr>
    </w:div>
    <w:div w:id="1697851254">
      <w:bodyDiv w:val="1"/>
      <w:marLeft w:val="0"/>
      <w:marRight w:val="0"/>
      <w:marTop w:val="0"/>
      <w:marBottom w:val="0"/>
      <w:divBdr>
        <w:top w:val="none" w:sz="0" w:space="0" w:color="auto"/>
        <w:left w:val="none" w:sz="0" w:space="0" w:color="auto"/>
        <w:bottom w:val="none" w:sz="0" w:space="0" w:color="auto"/>
        <w:right w:val="none" w:sz="0" w:space="0" w:color="auto"/>
      </w:divBdr>
    </w:div>
    <w:div w:id="1711372003">
      <w:bodyDiv w:val="1"/>
      <w:marLeft w:val="0"/>
      <w:marRight w:val="0"/>
      <w:marTop w:val="0"/>
      <w:marBottom w:val="0"/>
      <w:divBdr>
        <w:top w:val="none" w:sz="0" w:space="0" w:color="auto"/>
        <w:left w:val="none" w:sz="0" w:space="0" w:color="auto"/>
        <w:bottom w:val="none" w:sz="0" w:space="0" w:color="auto"/>
        <w:right w:val="none" w:sz="0" w:space="0" w:color="auto"/>
      </w:divBdr>
    </w:div>
    <w:div w:id="1730349549">
      <w:bodyDiv w:val="1"/>
      <w:marLeft w:val="0"/>
      <w:marRight w:val="0"/>
      <w:marTop w:val="0"/>
      <w:marBottom w:val="0"/>
      <w:divBdr>
        <w:top w:val="none" w:sz="0" w:space="0" w:color="auto"/>
        <w:left w:val="none" w:sz="0" w:space="0" w:color="auto"/>
        <w:bottom w:val="none" w:sz="0" w:space="0" w:color="auto"/>
        <w:right w:val="none" w:sz="0" w:space="0" w:color="auto"/>
      </w:divBdr>
    </w:div>
    <w:div w:id="1754743803">
      <w:bodyDiv w:val="1"/>
      <w:marLeft w:val="0"/>
      <w:marRight w:val="0"/>
      <w:marTop w:val="0"/>
      <w:marBottom w:val="0"/>
      <w:divBdr>
        <w:top w:val="none" w:sz="0" w:space="0" w:color="auto"/>
        <w:left w:val="none" w:sz="0" w:space="0" w:color="auto"/>
        <w:bottom w:val="none" w:sz="0" w:space="0" w:color="auto"/>
        <w:right w:val="none" w:sz="0" w:space="0" w:color="auto"/>
      </w:divBdr>
    </w:div>
    <w:div w:id="1759864497">
      <w:bodyDiv w:val="1"/>
      <w:marLeft w:val="0"/>
      <w:marRight w:val="0"/>
      <w:marTop w:val="0"/>
      <w:marBottom w:val="0"/>
      <w:divBdr>
        <w:top w:val="none" w:sz="0" w:space="0" w:color="auto"/>
        <w:left w:val="none" w:sz="0" w:space="0" w:color="auto"/>
        <w:bottom w:val="none" w:sz="0" w:space="0" w:color="auto"/>
        <w:right w:val="none" w:sz="0" w:space="0" w:color="auto"/>
      </w:divBdr>
    </w:div>
    <w:div w:id="1781102840">
      <w:bodyDiv w:val="1"/>
      <w:marLeft w:val="0"/>
      <w:marRight w:val="0"/>
      <w:marTop w:val="0"/>
      <w:marBottom w:val="0"/>
      <w:divBdr>
        <w:top w:val="none" w:sz="0" w:space="0" w:color="auto"/>
        <w:left w:val="none" w:sz="0" w:space="0" w:color="auto"/>
        <w:bottom w:val="none" w:sz="0" w:space="0" w:color="auto"/>
        <w:right w:val="none" w:sz="0" w:space="0" w:color="auto"/>
      </w:divBdr>
    </w:div>
    <w:div w:id="1794858914">
      <w:bodyDiv w:val="1"/>
      <w:marLeft w:val="0"/>
      <w:marRight w:val="0"/>
      <w:marTop w:val="0"/>
      <w:marBottom w:val="0"/>
      <w:divBdr>
        <w:top w:val="none" w:sz="0" w:space="0" w:color="auto"/>
        <w:left w:val="none" w:sz="0" w:space="0" w:color="auto"/>
        <w:bottom w:val="none" w:sz="0" w:space="0" w:color="auto"/>
        <w:right w:val="none" w:sz="0" w:space="0" w:color="auto"/>
      </w:divBdr>
    </w:div>
    <w:div w:id="1796214254">
      <w:bodyDiv w:val="1"/>
      <w:marLeft w:val="0"/>
      <w:marRight w:val="0"/>
      <w:marTop w:val="0"/>
      <w:marBottom w:val="0"/>
      <w:divBdr>
        <w:top w:val="none" w:sz="0" w:space="0" w:color="auto"/>
        <w:left w:val="none" w:sz="0" w:space="0" w:color="auto"/>
        <w:bottom w:val="none" w:sz="0" w:space="0" w:color="auto"/>
        <w:right w:val="none" w:sz="0" w:space="0" w:color="auto"/>
      </w:divBdr>
    </w:div>
    <w:div w:id="1819229107">
      <w:bodyDiv w:val="1"/>
      <w:marLeft w:val="0"/>
      <w:marRight w:val="0"/>
      <w:marTop w:val="0"/>
      <w:marBottom w:val="0"/>
      <w:divBdr>
        <w:top w:val="none" w:sz="0" w:space="0" w:color="auto"/>
        <w:left w:val="none" w:sz="0" w:space="0" w:color="auto"/>
        <w:bottom w:val="none" w:sz="0" w:space="0" w:color="auto"/>
        <w:right w:val="none" w:sz="0" w:space="0" w:color="auto"/>
      </w:divBdr>
    </w:div>
    <w:div w:id="1825586667">
      <w:bodyDiv w:val="1"/>
      <w:marLeft w:val="0"/>
      <w:marRight w:val="0"/>
      <w:marTop w:val="0"/>
      <w:marBottom w:val="0"/>
      <w:divBdr>
        <w:top w:val="none" w:sz="0" w:space="0" w:color="auto"/>
        <w:left w:val="none" w:sz="0" w:space="0" w:color="auto"/>
        <w:bottom w:val="none" w:sz="0" w:space="0" w:color="auto"/>
        <w:right w:val="none" w:sz="0" w:space="0" w:color="auto"/>
      </w:divBdr>
    </w:div>
    <w:div w:id="1827626875">
      <w:bodyDiv w:val="1"/>
      <w:marLeft w:val="0"/>
      <w:marRight w:val="0"/>
      <w:marTop w:val="0"/>
      <w:marBottom w:val="0"/>
      <w:divBdr>
        <w:top w:val="none" w:sz="0" w:space="0" w:color="auto"/>
        <w:left w:val="none" w:sz="0" w:space="0" w:color="auto"/>
        <w:bottom w:val="none" w:sz="0" w:space="0" w:color="auto"/>
        <w:right w:val="none" w:sz="0" w:space="0" w:color="auto"/>
      </w:divBdr>
    </w:div>
    <w:div w:id="1829249527">
      <w:bodyDiv w:val="1"/>
      <w:marLeft w:val="0"/>
      <w:marRight w:val="0"/>
      <w:marTop w:val="0"/>
      <w:marBottom w:val="0"/>
      <w:divBdr>
        <w:top w:val="none" w:sz="0" w:space="0" w:color="auto"/>
        <w:left w:val="none" w:sz="0" w:space="0" w:color="auto"/>
        <w:bottom w:val="none" w:sz="0" w:space="0" w:color="auto"/>
        <w:right w:val="none" w:sz="0" w:space="0" w:color="auto"/>
      </w:divBdr>
    </w:div>
    <w:div w:id="1850564613">
      <w:bodyDiv w:val="1"/>
      <w:marLeft w:val="0"/>
      <w:marRight w:val="0"/>
      <w:marTop w:val="0"/>
      <w:marBottom w:val="0"/>
      <w:divBdr>
        <w:top w:val="none" w:sz="0" w:space="0" w:color="auto"/>
        <w:left w:val="none" w:sz="0" w:space="0" w:color="auto"/>
        <w:bottom w:val="none" w:sz="0" w:space="0" w:color="auto"/>
        <w:right w:val="none" w:sz="0" w:space="0" w:color="auto"/>
      </w:divBdr>
    </w:div>
    <w:div w:id="1866676038">
      <w:bodyDiv w:val="1"/>
      <w:marLeft w:val="0"/>
      <w:marRight w:val="0"/>
      <w:marTop w:val="0"/>
      <w:marBottom w:val="0"/>
      <w:divBdr>
        <w:top w:val="none" w:sz="0" w:space="0" w:color="auto"/>
        <w:left w:val="none" w:sz="0" w:space="0" w:color="auto"/>
        <w:bottom w:val="none" w:sz="0" w:space="0" w:color="auto"/>
        <w:right w:val="none" w:sz="0" w:space="0" w:color="auto"/>
      </w:divBdr>
    </w:div>
    <w:div w:id="1875533011">
      <w:bodyDiv w:val="1"/>
      <w:marLeft w:val="0"/>
      <w:marRight w:val="0"/>
      <w:marTop w:val="0"/>
      <w:marBottom w:val="0"/>
      <w:divBdr>
        <w:top w:val="none" w:sz="0" w:space="0" w:color="auto"/>
        <w:left w:val="none" w:sz="0" w:space="0" w:color="auto"/>
        <w:bottom w:val="none" w:sz="0" w:space="0" w:color="auto"/>
        <w:right w:val="none" w:sz="0" w:space="0" w:color="auto"/>
      </w:divBdr>
    </w:div>
    <w:div w:id="1893999968">
      <w:bodyDiv w:val="1"/>
      <w:marLeft w:val="0"/>
      <w:marRight w:val="0"/>
      <w:marTop w:val="0"/>
      <w:marBottom w:val="0"/>
      <w:divBdr>
        <w:top w:val="none" w:sz="0" w:space="0" w:color="auto"/>
        <w:left w:val="none" w:sz="0" w:space="0" w:color="auto"/>
        <w:bottom w:val="none" w:sz="0" w:space="0" w:color="auto"/>
        <w:right w:val="none" w:sz="0" w:space="0" w:color="auto"/>
      </w:divBdr>
    </w:div>
    <w:div w:id="1896234570">
      <w:bodyDiv w:val="1"/>
      <w:marLeft w:val="0"/>
      <w:marRight w:val="0"/>
      <w:marTop w:val="0"/>
      <w:marBottom w:val="0"/>
      <w:divBdr>
        <w:top w:val="none" w:sz="0" w:space="0" w:color="auto"/>
        <w:left w:val="none" w:sz="0" w:space="0" w:color="auto"/>
        <w:bottom w:val="none" w:sz="0" w:space="0" w:color="auto"/>
        <w:right w:val="none" w:sz="0" w:space="0" w:color="auto"/>
      </w:divBdr>
    </w:div>
    <w:div w:id="1899511741">
      <w:bodyDiv w:val="1"/>
      <w:marLeft w:val="0"/>
      <w:marRight w:val="0"/>
      <w:marTop w:val="0"/>
      <w:marBottom w:val="0"/>
      <w:divBdr>
        <w:top w:val="none" w:sz="0" w:space="0" w:color="auto"/>
        <w:left w:val="none" w:sz="0" w:space="0" w:color="auto"/>
        <w:bottom w:val="none" w:sz="0" w:space="0" w:color="auto"/>
        <w:right w:val="none" w:sz="0" w:space="0" w:color="auto"/>
      </w:divBdr>
    </w:div>
    <w:div w:id="1901554719">
      <w:bodyDiv w:val="1"/>
      <w:marLeft w:val="0"/>
      <w:marRight w:val="0"/>
      <w:marTop w:val="0"/>
      <w:marBottom w:val="0"/>
      <w:divBdr>
        <w:top w:val="none" w:sz="0" w:space="0" w:color="auto"/>
        <w:left w:val="none" w:sz="0" w:space="0" w:color="auto"/>
        <w:bottom w:val="none" w:sz="0" w:space="0" w:color="auto"/>
        <w:right w:val="none" w:sz="0" w:space="0" w:color="auto"/>
      </w:divBdr>
    </w:div>
    <w:div w:id="1936549464">
      <w:bodyDiv w:val="1"/>
      <w:marLeft w:val="0"/>
      <w:marRight w:val="0"/>
      <w:marTop w:val="0"/>
      <w:marBottom w:val="0"/>
      <w:divBdr>
        <w:top w:val="none" w:sz="0" w:space="0" w:color="auto"/>
        <w:left w:val="none" w:sz="0" w:space="0" w:color="auto"/>
        <w:bottom w:val="none" w:sz="0" w:space="0" w:color="auto"/>
        <w:right w:val="none" w:sz="0" w:space="0" w:color="auto"/>
      </w:divBdr>
    </w:div>
    <w:div w:id="1967154875">
      <w:bodyDiv w:val="1"/>
      <w:marLeft w:val="0"/>
      <w:marRight w:val="0"/>
      <w:marTop w:val="0"/>
      <w:marBottom w:val="0"/>
      <w:divBdr>
        <w:top w:val="none" w:sz="0" w:space="0" w:color="auto"/>
        <w:left w:val="none" w:sz="0" w:space="0" w:color="auto"/>
        <w:bottom w:val="none" w:sz="0" w:space="0" w:color="auto"/>
        <w:right w:val="none" w:sz="0" w:space="0" w:color="auto"/>
      </w:divBdr>
    </w:div>
    <w:div w:id="1968119833">
      <w:bodyDiv w:val="1"/>
      <w:marLeft w:val="0"/>
      <w:marRight w:val="0"/>
      <w:marTop w:val="0"/>
      <w:marBottom w:val="0"/>
      <w:divBdr>
        <w:top w:val="none" w:sz="0" w:space="0" w:color="auto"/>
        <w:left w:val="none" w:sz="0" w:space="0" w:color="auto"/>
        <w:bottom w:val="none" w:sz="0" w:space="0" w:color="auto"/>
        <w:right w:val="none" w:sz="0" w:space="0" w:color="auto"/>
      </w:divBdr>
    </w:div>
    <w:div w:id="1985964368">
      <w:bodyDiv w:val="1"/>
      <w:marLeft w:val="0"/>
      <w:marRight w:val="0"/>
      <w:marTop w:val="0"/>
      <w:marBottom w:val="0"/>
      <w:divBdr>
        <w:top w:val="none" w:sz="0" w:space="0" w:color="auto"/>
        <w:left w:val="none" w:sz="0" w:space="0" w:color="auto"/>
        <w:bottom w:val="none" w:sz="0" w:space="0" w:color="auto"/>
        <w:right w:val="none" w:sz="0" w:space="0" w:color="auto"/>
      </w:divBdr>
    </w:div>
    <w:div w:id="1988701382">
      <w:bodyDiv w:val="1"/>
      <w:marLeft w:val="0"/>
      <w:marRight w:val="0"/>
      <w:marTop w:val="0"/>
      <w:marBottom w:val="0"/>
      <w:divBdr>
        <w:top w:val="none" w:sz="0" w:space="0" w:color="auto"/>
        <w:left w:val="none" w:sz="0" w:space="0" w:color="auto"/>
        <w:bottom w:val="none" w:sz="0" w:space="0" w:color="auto"/>
        <w:right w:val="none" w:sz="0" w:space="0" w:color="auto"/>
      </w:divBdr>
    </w:div>
    <w:div w:id="2005664387">
      <w:bodyDiv w:val="1"/>
      <w:marLeft w:val="0"/>
      <w:marRight w:val="0"/>
      <w:marTop w:val="0"/>
      <w:marBottom w:val="0"/>
      <w:divBdr>
        <w:top w:val="none" w:sz="0" w:space="0" w:color="auto"/>
        <w:left w:val="none" w:sz="0" w:space="0" w:color="auto"/>
        <w:bottom w:val="none" w:sz="0" w:space="0" w:color="auto"/>
        <w:right w:val="none" w:sz="0" w:space="0" w:color="auto"/>
      </w:divBdr>
    </w:div>
    <w:div w:id="2011714885">
      <w:bodyDiv w:val="1"/>
      <w:marLeft w:val="0"/>
      <w:marRight w:val="0"/>
      <w:marTop w:val="0"/>
      <w:marBottom w:val="0"/>
      <w:divBdr>
        <w:top w:val="none" w:sz="0" w:space="0" w:color="auto"/>
        <w:left w:val="none" w:sz="0" w:space="0" w:color="auto"/>
        <w:bottom w:val="none" w:sz="0" w:space="0" w:color="auto"/>
        <w:right w:val="none" w:sz="0" w:space="0" w:color="auto"/>
      </w:divBdr>
    </w:div>
    <w:div w:id="2037849048">
      <w:bodyDiv w:val="1"/>
      <w:marLeft w:val="0"/>
      <w:marRight w:val="0"/>
      <w:marTop w:val="0"/>
      <w:marBottom w:val="0"/>
      <w:divBdr>
        <w:top w:val="none" w:sz="0" w:space="0" w:color="auto"/>
        <w:left w:val="none" w:sz="0" w:space="0" w:color="auto"/>
        <w:bottom w:val="none" w:sz="0" w:space="0" w:color="auto"/>
        <w:right w:val="none" w:sz="0" w:space="0" w:color="auto"/>
      </w:divBdr>
    </w:div>
    <w:div w:id="2038892614">
      <w:bodyDiv w:val="1"/>
      <w:marLeft w:val="0"/>
      <w:marRight w:val="0"/>
      <w:marTop w:val="0"/>
      <w:marBottom w:val="0"/>
      <w:divBdr>
        <w:top w:val="none" w:sz="0" w:space="0" w:color="auto"/>
        <w:left w:val="none" w:sz="0" w:space="0" w:color="auto"/>
        <w:bottom w:val="none" w:sz="0" w:space="0" w:color="auto"/>
        <w:right w:val="none" w:sz="0" w:space="0" w:color="auto"/>
      </w:divBdr>
    </w:div>
    <w:div w:id="2044279751">
      <w:bodyDiv w:val="1"/>
      <w:marLeft w:val="0"/>
      <w:marRight w:val="0"/>
      <w:marTop w:val="0"/>
      <w:marBottom w:val="0"/>
      <w:divBdr>
        <w:top w:val="none" w:sz="0" w:space="0" w:color="auto"/>
        <w:left w:val="none" w:sz="0" w:space="0" w:color="auto"/>
        <w:bottom w:val="none" w:sz="0" w:space="0" w:color="auto"/>
        <w:right w:val="none" w:sz="0" w:space="0" w:color="auto"/>
      </w:divBdr>
    </w:div>
    <w:div w:id="2045516847">
      <w:bodyDiv w:val="1"/>
      <w:marLeft w:val="0"/>
      <w:marRight w:val="0"/>
      <w:marTop w:val="0"/>
      <w:marBottom w:val="0"/>
      <w:divBdr>
        <w:top w:val="none" w:sz="0" w:space="0" w:color="auto"/>
        <w:left w:val="none" w:sz="0" w:space="0" w:color="auto"/>
        <w:bottom w:val="none" w:sz="0" w:space="0" w:color="auto"/>
        <w:right w:val="none" w:sz="0" w:space="0" w:color="auto"/>
      </w:divBdr>
    </w:div>
    <w:div w:id="2051147049">
      <w:bodyDiv w:val="1"/>
      <w:marLeft w:val="0"/>
      <w:marRight w:val="0"/>
      <w:marTop w:val="0"/>
      <w:marBottom w:val="0"/>
      <w:divBdr>
        <w:top w:val="none" w:sz="0" w:space="0" w:color="auto"/>
        <w:left w:val="none" w:sz="0" w:space="0" w:color="auto"/>
        <w:bottom w:val="none" w:sz="0" w:space="0" w:color="auto"/>
        <w:right w:val="none" w:sz="0" w:space="0" w:color="auto"/>
      </w:divBdr>
    </w:div>
    <w:div w:id="2057728587">
      <w:bodyDiv w:val="1"/>
      <w:marLeft w:val="0"/>
      <w:marRight w:val="0"/>
      <w:marTop w:val="0"/>
      <w:marBottom w:val="0"/>
      <w:divBdr>
        <w:top w:val="none" w:sz="0" w:space="0" w:color="auto"/>
        <w:left w:val="none" w:sz="0" w:space="0" w:color="auto"/>
        <w:bottom w:val="none" w:sz="0" w:space="0" w:color="auto"/>
        <w:right w:val="none" w:sz="0" w:space="0" w:color="auto"/>
      </w:divBdr>
    </w:div>
    <w:div w:id="2092853900">
      <w:bodyDiv w:val="1"/>
      <w:marLeft w:val="0"/>
      <w:marRight w:val="0"/>
      <w:marTop w:val="0"/>
      <w:marBottom w:val="0"/>
      <w:divBdr>
        <w:top w:val="none" w:sz="0" w:space="0" w:color="auto"/>
        <w:left w:val="none" w:sz="0" w:space="0" w:color="auto"/>
        <w:bottom w:val="none" w:sz="0" w:space="0" w:color="auto"/>
        <w:right w:val="none" w:sz="0" w:space="0" w:color="auto"/>
      </w:divBdr>
    </w:div>
    <w:div w:id="2095660478">
      <w:bodyDiv w:val="1"/>
      <w:marLeft w:val="0"/>
      <w:marRight w:val="0"/>
      <w:marTop w:val="0"/>
      <w:marBottom w:val="0"/>
      <w:divBdr>
        <w:top w:val="none" w:sz="0" w:space="0" w:color="auto"/>
        <w:left w:val="none" w:sz="0" w:space="0" w:color="auto"/>
        <w:bottom w:val="none" w:sz="0" w:space="0" w:color="auto"/>
        <w:right w:val="none" w:sz="0" w:space="0" w:color="auto"/>
      </w:divBdr>
    </w:div>
    <w:div w:id="2101681354">
      <w:bodyDiv w:val="1"/>
      <w:marLeft w:val="0"/>
      <w:marRight w:val="0"/>
      <w:marTop w:val="0"/>
      <w:marBottom w:val="0"/>
      <w:divBdr>
        <w:top w:val="none" w:sz="0" w:space="0" w:color="auto"/>
        <w:left w:val="none" w:sz="0" w:space="0" w:color="auto"/>
        <w:bottom w:val="none" w:sz="0" w:space="0" w:color="auto"/>
        <w:right w:val="none" w:sz="0" w:space="0" w:color="auto"/>
      </w:divBdr>
    </w:div>
    <w:div w:id="2113931406">
      <w:bodyDiv w:val="1"/>
      <w:marLeft w:val="0"/>
      <w:marRight w:val="0"/>
      <w:marTop w:val="0"/>
      <w:marBottom w:val="0"/>
      <w:divBdr>
        <w:top w:val="none" w:sz="0" w:space="0" w:color="auto"/>
        <w:left w:val="none" w:sz="0" w:space="0" w:color="auto"/>
        <w:bottom w:val="none" w:sz="0" w:space="0" w:color="auto"/>
        <w:right w:val="none" w:sz="0" w:space="0" w:color="auto"/>
      </w:divBdr>
    </w:div>
    <w:div w:id="2114157563">
      <w:bodyDiv w:val="1"/>
      <w:marLeft w:val="0"/>
      <w:marRight w:val="0"/>
      <w:marTop w:val="0"/>
      <w:marBottom w:val="0"/>
      <w:divBdr>
        <w:top w:val="none" w:sz="0" w:space="0" w:color="auto"/>
        <w:left w:val="none" w:sz="0" w:space="0" w:color="auto"/>
        <w:bottom w:val="none" w:sz="0" w:space="0" w:color="auto"/>
        <w:right w:val="none" w:sz="0" w:space="0" w:color="auto"/>
      </w:divBdr>
    </w:div>
    <w:div w:id="2114592448">
      <w:bodyDiv w:val="1"/>
      <w:marLeft w:val="0"/>
      <w:marRight w:val="0"/>
      <w:marTop w:val="0"/>
      <w:marBottom w:val="0"/>
      <w:divBdr>
        <w:top w:val="none" w:sz="0" w:space="0" w:color="auto"/>
        <w:left w:val="none" w:sz="0" w:space="0" w:color="auto"/>
        <w:bottom w:val="none" w:sz="0" w:space="0" w:color="auto"/>
        <w:right w:val="none" w:sz="0" w:space="0" w:color="auto"/>
      </w:divBdr>
    </w:div>
    <w:div w:id="21250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pcina.zavidovici@zavidovici.ba" TargetMode="External"/><Relationship Id="rId2" Type="http://schemas.openxmlformats.org/officeDocument/2006/relationships/hyperlink" Target="http://www.zavidovici.ba" TargetMode="External"/><Relationship Id="rId1" Type="http://schemas.openxmlformats.org/officeDocument/2006/relationships/image" Target="media/image3.jpeg"/><Relationship Id="rId4" Type="http://schemas.openxmlformats.org/officeDocument/2006/relationships/hyperlink" Target="mailto:opzdici@bih.net.b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bosnjak\Desktop\Makroekonomski%20podaci\Cijen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bosnjak\Desktop\Smjernice\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bs-Latn-BA" sz="1050">
                <a:latin typeface="Arial" panose="020B0604020202020204" pitchFamily="34" charset="0"/>
                <a:cs typeface="Arial" panose="020B0604020202020204" pitchFamily="34" charset="0"/>
              </a:rPr>
              <a:t>Kretanje cijena</a:t>
            </a:r>
            <a:r>
              <a:rPr lang="bs-Latn-BA" sz="1050" baseline="0">
                <a:latin typeface="Arial" panose="020B0604020202020204" pitchFamily="34" charset="0"/>
                <a:cs typeface="Arial" panose="020B0604020202020204" pitchFamily="34" charset="0"/>
              </a:rPr>
              <a:t> nafte po barelu u eurozoni za period </a:t>
            </a:r>
          </a:p>
          <a:p>
            <a:pPr>
              <a:defRPr lang="en-US" sz="1600" b="1" i="0" u="none" strike="noStrike" kern="1200" baseline="0">
                <a:solidFill>
                  <a:schemeClr val="tx1">
                    <a:lumMod val="65000"/>
                    <a:lumOff val="35000"/>
                  </a:schemeClr>
                </a:solidFill>
                <a:latin typeface="+mn-lt"/>
                <a:ea typeface="+mn-ea"/>
                <a:cs typeface="+mn-cs"/>
              </a:defRPr>
            </a:pPr>
            <a:r>
              <a:rPr lang="bs-Latn-BA" sz="1050" baseline="0">
                <a:latin typeface="Arial" panose="020B0604020202020204" pitchFamily="34" charset="0"/>
                <a:cs typeface="Arial" panose="020B0604020202020204" pitchFamily="34" charset="0"/>
              </a:rPr>
              <a:t>2018. - 2022. g.</a:t>
            </a:r>
            <a:endParaRPr lang="bs-Latn-BA" sz="1050">
              <a:latin typeface="Arial" panose="020B0604020202020204" pitchFamily="34" charset="0"/>
              <a:cs typeface="Arial" panose="020B0604020202020204" pitchFamily="34" charset="0"/>
            </a:endParaRPr>
          </a:p>
        </c:rich>
      </c:tx>
      <c:spPr>
        <a:noFill/>
        <a:ln>
          <a:noFill/>
        </a:ln>
        <a:effectLst/>
      </c:spPr>
    </c:title>
    <c:plotArea>
      <c:layout/>
      <c:lineChart>
        <c:grouping val="stacked"/>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r-Latn-C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Sheet3!$A$9:$B$29</c:f>
              <c:multiLvlStrCache>
                <c:ptCount val="21"/>
                <c:lvl>
                  <c:pt idx="1">
                    <c:v>Q I</c:v>
                  </c:pt>
                  <c:pt idx="2">
                    <c:v>Q II</c:v>
                  </c:pt>
                  <c:pt idx="3">
                    <c:v>Q III</c:v>
                  </c:pt>
                  <c:pt idx="4">
                    <c:v>Q IV</c:v>
                  </c:pt>
                  <c:pt idx="5">
                    <c:v>Q I</c:v>
                  </c:pt>
                  <c:pt idx="6">
                    <c:v>Q II</c:v>
                  </c:pt>
                  <c:pt idx="7">
                    <c:v>Q III</c:v>
                  </c:pt>
                  <c:pt idx="8">
                    <c:v>Q IV</c:v>
                  </c:pt>
                  <c:pt idx="9">
                    <c:v>Q I</c:v>
                  </c:pt>
                  <c:pt idx="10">
                    <c:v>Q II</c:v>
                  </c:pt>
                  <c:pt idx="11">
                    <c:v>Q III</c:v>
                  </c:pt>
                  <c:pt idx="12">
                    <c:v>Q IV</c:v>
                  </c:pt>
                  <c:pt idx="13">
                    <c:v>Q I</c:v>
                  </c:pt>
                  <c:pt idx="14">
                    <c:v>Q II</c:v>
                  </c:pt>
                  <c:pt idx="15">
                    <c:v>Q III</c:v>
                  </c:pt>
                  <c:pt idx="16">
                    <c:v>Q IV</c:v>
                  </c:pt>
                  <c:pt idx="17">
                    <c:v>Q I</c:v>
                  </c:pt>
                  <c:pt idx="18">
                    <c:v>Q II</c:v>
                  </c:pt>
                  <c:pt idx="19">
                    <c:v>Q III</c:v>
                  </c:pt>
                  <c:pt idx="20">
                    <c:v>Q IV</c:v>
                  </c:pt>
                </c:lvl>
                <c:lvl>
                  <c:pt idx="1">
                    <c:v>2018</c:v>
                  </c:pt>
                  <c:pt idx="5">
                    <c:v>2019</c:v>
                  </c:pt>
                  <c:pt idx="9">
                    <c:v>2020</c:v>
                  </c:pt>
                  <c:pt idx="13">
                    <c:v>2021</c:v>
                  </c:pt>
                  <c:pt idx="17">
                    <c:v>2022</c:v>
                  </c:pt>
                </c:lvl>
              </c:multiLvlStrCache>
            </c:multiLvlStrRef>
          </c:cat>
          <c:val>
            <c:numRef>
              <c:f>Sheet3!$C$9:$C$29</c:f>
              <c:numCache>
                <c:formatCode>General</c:formatCode>
                <c:ptCount val="21"/>
                <c:pt idx="0">
                  <c:v>0</c:v>
                </c:pt>
                <c:pt idx="1">
                  <c:v>54.42</c:v>
                </c:pt>
                <c:pt idx="2">
                  <c:v>62.63</c:v>
                </c:pt>
                <c:pt idx="3">
                  <c:v>65.28</c:v>
                </c:pt>
                <c:pt idx="4">
                  <c:v>60.160000000000011</c:v>
                </c:pt>
                <c:pt idx="5">
                  <c:v>56.01</c:v>
                </c:pt>
                <c:pt idx="6">
                  <c:v>60.309999999999995</c:v>
                </c:pt>
                <c:pt idx="7">
                  <c:v>55.4</c:v>
                </c:pt>
                <c:pt idx="8">
                  <c:v>55.78</c:v>
                </c:pt>
                <c:pt idx="9">
                  <c:v>46.64</c:v>
                </c:pt>
                <c:pt idx="10">
                  <c:v>31.38</c:v>
                </c:pt>
                <c:pt idx="11">
                  <c:v>37.5</c:v>
                </c:pt>
                <c:pt idx="12">
                  <c:v>38.21</c:v>
                </c:pt>
                <c:pt idx="13">
                  <c:v>50.6</c:v>
                </c:pt>
                <c:pt idx="14">
                  <c:v>57</c:v>
                </c:pt>
                <c:pt idx="15">
                  <c:v>61.55</c:v>
                </c:pt>
                <c:pt idx="16">
                  <c:v>69.09</c:v>
                </c:pt>
                <c:pt idx="17">
                  <c:v>85.48</c:v>
                </c:pt>
                <c:pt idx="18">
                  <c:v>103.36999999999999</c:v>
                </c:pt>
                <c:pt idx="19">
                  <c:v>94.86</c:v>
                </c:pt>
                <c:pt idx="20">
                  <c:v>86.3</c:v>
                </c:pt>
              </c:numCache>
            </c:numRef>
          </c:val>
          <c:extLst xmlns:c16r2="http://schemas.microsoft.com/office/drawing/2015/06/chart">
            <c:ext xmlns:c16="http://schemas.microsoft.com/office/drawing/2014/chart" uri="{C3380CC4-5D6E-409C-BE32-E72D297353CC}">
              <c16:uniqueId val="{00000000-D867-48F4-8612-D2038F50B29C}"/>
            </c:ext>
          </c:extLst>
        </c:ser>
        <c:dLbls>
          <c:showVal val="1"/>
        </c:dLbls>
        <c:marker val="1"/>
        <c:axId val="48966272"/>
        <c:axId val="48976256"/>
      </c:lineChart>
      <c:catAx>
        <c:axId val="489662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8976256"/>
        <c:crosses val="autoZero"/>
        <c:auto val="1"/>
        <c:lblAlgn val="ctr"/>
        <c:lblOffset val="100"/>
      </c:catAx>
      <c:valAx>
        <c:axId val="48976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8966272"/>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bs-Latn-BA" sz="1050">
                <a:latin typeface="Arial" panose="020B0604020202020204" pitchFamily="34" charset="0"/>
                <a:cs typeface="Arial" panose="020B0604020202020204" pitchFamily="34" charset="0"/>
              </a:rPr>
              <a:t> Stope</a:t>
            </a:r>
            <a:r>
              <a:rPr lang="bs-Latn-BA" sz="1050" baseline="0">
                <a:latin typeface="Arial" panose="020B0604020202020204" pitchFamily="34" charset="0"/>
                <a:cs typeface="Arial" panose="020B0604020202020204" pitchFamily="34" charset="0"/>
              </a:rPr>
              <a:t> n</a:t>
            </a:r>
            <a:r>
              <a:rPr lang="bs-Latn-BA" sz="1050">
                <a:latin typeface="Arial" panose="020B0604020202020204" pitchFamily="34" charset="0"/>
                <a:cs typeface="Arial" panose="020B0604020202020204" pitchFamily="34" charset="0"/>
              </a:rPr>
              <a:t>ominalanog i relanog rasta neto plata 2019. g.- 2022. g.</a:t>
            </a:r>
          </a:p>
        </c:rich>
      </c:tx>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line3DChart>
        <c:grouping val="standard"/>
        <c:ser>
          <c:idx val="0"/>
          <c:order val="0"/>
          <c:tx>
            <c:strRef>
              <c:f>Plate!$B$35</c:f>
              <c:strCache>
                <c:ptCount val="1"/>
                <c:pt idx="0">
                  <c:v>NP realani rast</c:v>
                </c:pt>
              </c:strCache>
            </c:strRef>
          </c:tx>
          <c:spPr>
            <a:solidFill>
              <a:schemeClr val="accent1"/>
            </a:solidFill>
            <a:ln>
              <a:noFill/>
            </a:ln>
            <a:effectLst/>
            <a:sp3d/>
          </c:spPr>
          <c:cat>
            <c:numRef>
              <c:f>Plate!$C$34:$F$34</c:f>
              <c:numCache>
                <c:formatCode>General</c:formatCode>
                <c:ptCount val="4"/>
                <c:pt idx="0">
                  <c:v>2019</c:v>
                </c:pt>
                <c:pt idx="1">
                  <c:v>2020</c:v>
                </c:pt>
                <c:pt idx="2">
                  <c:v>2021</c:v>
                </c:pt>
                <c:pt idx="3">
                  <c:v>2022</c:v>
                </c:pt>
              </c:numCache>
            </c:numRef>
          </c:cat>
          <c:val>
            <c:numRef>
              <c:f>Plate!$C$35:$F$35</c:f>
              <c:numCache>
                <c:formatCode>_-* #,##0.0\ _K_M_-;\-* #,##0.0\ _K_M_-;_-* "-"??\ _K_M_-;_-@_-</c:formatCode>
                <c:ptCount val="4"/>
                <c:pt idx="0">
                  <c:v>4.5999999999999996</c:v>
                </c:pt>
                <c:pt idx="1">
                  <c:v>5.0999999999999996</c:v>
                </c:pt>
                <c:pt idx="2">
                  <c:v>-1.1000000000000001</c:v>
                </c:pt>
                <c:pt idx="3">
                  <c:v>-2.5</c:v>
                </c:pt>
              </c:numCache>
            </c:numRef>
          </c:val>
          <c:extLst xmlns:c16r2="http://schemas.microsoft.com/office/drawing/2015/06/chart">
            <c:ext xmlns:c16="http://schemas.microsoft.com/office/drawing/2014/chart" uri="{C3380CC4-5D6E-409C-BE32-E72D297353CC}">
              <c16:uniqueId val="{00000000-0CA5-4649-81B9-E318A95A1DB6}"/>
            </c:ext>
          </c:extLst>
        </c:ser>
        <c:ser>
          <c:idx val="1"/>
          <c:order val="1"/>
          <c:tx>
            <c:strRef>
              <c:f>Plate!$B$36</c:f>
              <c:strCache>
                <c:ptCount val="1"/>
                <c:pt idx="0">
                  <c:v>NP nominalni rast</c:v>
                </c:pt>
              </c:strCache>
            </c:strRef>
          </c:tx>
          <c:spPr>
            <a:solidFill>
              <a:schemeClr val="accent2"/>
            </a:solidFill>
            <a:ln>
              <a:noFill/>
            </a:ln>
            <a:effectLst/>
            <a:sp3d/>
          </c:spPr>
          <c:cat>
            <c:numRef>
              <c:f>Plate!$C$34:$F$34</c:f>
              <c:numCache>
                <c:formatCode>General</c:formatCode>
                <c:ptCount val="4"/>
                <c:pt idx="0">
                  <c:v>2019</c:v>
                </c:pt>
                <c:pt idx="1">
                  <c:v>2020</c:v>
                </c:pt>
                <c:pt idx="2">
                  <c:v>2021</c:v>
                </c:pt>
                <c:pt idx="3">
                  <c:v>2022</c:v>
                </c:pt>
              </c:numCache>
            </c:numRef>
          </c:cat>
          <c:val>
            <c:numRef>
              <c:f>Plate!$C$36:$F$36</c:f>
              <c:numCache>
                <c:formatCode>_-* #,##0.0\ _K_M_-;\-* #,##0.0\ _K_M_-;_-* "-"??\ _K_M_-;_-@_-</c:formatCode>
                <c:ptCount val="4"/>
                <c:pt idx="0">
                  <c:v>4.4000000000000004</c:v>
                </c:pt>
                <c:pt idx="1">
                  <c:v>3</c:v>
                </c:pt>
                <c:pt idx="2">
                  <c:v>4.2</c:v>
                </c:pt>
                <c:pt idx="3">
                  <c:v>11.8</c:v>
                </c:pt>
              </c:numCache>
            </c:numRef>
          </c:val>
          <c:extLst xmlns:c16r2="http://schemas.microsoft.com/office/drawing/2015/06/chart">
            <c:ext xmlns:c16="http://schemas.microsoft.com/office/drawing/2014/chart" uri="{C3380CC4-5D6E-409C-BE32-E72D297353CC}">
              <c16:uniqueId val="{00000001-0CA5-4649-81B9-E318A95A1DB6}"/>
            </c:ext>
          </c:extLst>
        </c:ser>
        <c:axId val="50482176"/>
        <c:axId val="50488064"/>
        <c:axId val="50438592"/>
      </c:line3DChart>
      <c:catAx>
        <c:axId val="5048217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50488064"/>
        <c:crosses val="autoZero"/>
        <c:auto val="1"/>
        <c:lblAlgn val="ctr"/>
        <c:lblOffset val="100"/>
      </c:catAx>
      <c:valAx>
        <c:axId val="50488064"/>
        <c:scaling>
          <c:orientation val="minMax"/>
          <c:min val="-3"/>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 _K_M_-;\-* #,##0.0\ _K_M_-;_-* &quot;-&quot;??\ _K_M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50482176"/>
        <c:crosses val="autoZero"/>
        <c:crossBetween val="between"/>
      </c:valAx>
      <c:serAx>
        <c:axId val="50438592"/>
        <c:scaling>
          <c:orientation val="minMax"/>
        </c:scaling>
        <c:delete val="1"/>
        <c:axPos val="b"/>
        <c:minorGridlines>
          <c:spPr>
            <a:ln w="9525" cap="flat" cmpd="sng" algn="ctr">
              <a:solidFill>
                <a:schemeClr val="tx1">
                  <a:lumMod val="5000"/>
                  <a:lumOff val="95000"/>
                </a:schemeClr>
              </a:solidFill>
              <a:round/>
            </a:ln>
            <a:effectLst/>
          </c:spPr>
        </c:minorGridlines>
        <c:tickLblPos val="nextTo"/>
        <c:crossAx val="50488064"/>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bs-Latn-BA" sz="1100" b="0">
                <a:latin typeface="Arial" panose="020B0604020202020204" pitchFamily="34" charset="0"/>
                <a:cs typeface="Arial" panose="020B0604020202020204" pitchFamily="34" charset="0"/>
              </a:rPr>
              <a:t>Prosječna godišnja inflacija za period 2018. - 2022. g.</a:t>
            </a:r>
          </a:p>
        </c:rich>
      </c:tx>
      <c:spPr>
        <a:noFill/>
        <a:ln>
          <a:noFill/>
        </a:ln>
        <a:effectLst/>
      </c:spPr>
    </c:title>
    <c:plotArea>
      <c:layout/>
      <c:areaChart>
        <c:grouping val="stacked"/>
        <c:ser>
          <c:idx val="0"/>
          <c:order val="0"/>
          <c:tx>
            <c:strRef>
              <c:f>Cijene!$H$34</c:f>
              <c:strCache>
                <c:ptCount val="1"/>
                <c:pt idx="0">
                  <c:v>Prosječna inflacija %</c:v>
                </c:pt>
              </c:strCache>
            </c:strRef>
          </c:tx>
          <c:spPr>
            <a:gradFill rotWithShape="1">
              <a:gsLst>
                <a:gs pos="0">
                  <a:schemeClr val="accent1"/>
                </a:gs>
                <a:gs pos="90000">
                  <a:schemeClr val="accent1">
                    <a:shade val="100000"/>
                    <a:satMod val="105000"/>
                  </a:schemeClr>
                </a:gs>
                <a:gs pos="100000">
                  <a:schemeClr val="accent1">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numRef>
              <c:f>Cijene!$I$33:$M$33</c:f>
              <c:numCache>
                <c:formatCode>General</c:formatCode>
                <c:ptCount val="5"/>
                <c:pt idx="0">
                  <c:v>2018</c:v>
                </c:pt>
                <c:pt idx="1">
                  <c:v>2019</c:v>
                </c:pt>
                <c:pt idx="2">
                  <c:v>2020</c:v>
                </c:pt>
                <c:pt idx="3">
                  <c:v>2021</c:v>
                </c:pt>
                <c:pt idx="4">
                  <c:v>2022</c:v>
                </c:pt>
              </c:numCache>
            </c:numRef>
          </c:cat>
          <c:val>
            <c:numRef>
              <c:f>Cijene!$I$34:$M$34</c:f>
              <c:numCache>
                <c:formatCode>General</c:formatCode>
                <c:ptCount val="5"/>
                <c:pt idx="0">
                  <c:v>1.4</c:v>
                </c:pt>
                <c:pt idx="1">
                  <c:v>0.60000000000000064</c:v>
                </c:pt>
                <c:pt idx="2">
                  <c:v>-1.1000000000000001</c:v>
                </c:pt>
                <c:pt idx="3">
                  <c:v>2</c:v>
                </c:pt>
                <c:pt idx="4">
                  <c:v>14</c:v>
                </c:pt>
              </c:numCache>
            </c:numRef>
          </c:val>
          <c:extLst xmlns:c16r2="http://schemas.microsoft.com/office/drawing/2015/06/chart">
            <c:ext xmlns:c16="http://schemas.microsoft.com/office/drawing/2014/chart" uri="{C3380CC4-5D6E-409C-BE32-E72D297353CC}">
              <c16:uniqueId val="{00000000-91D2-424B-AC54-81E7F75C0003}"/>
            </c:ext>
          </c:extLst>
        </c:ser>
        <c:axId val="48987136"/>
        <c:axId val="49009408"/>
      </c:areaChart>
      <c:catAx>
        <c:axId val="48987136"/>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9009408"/>
        <c:crosses val="autoZero"/>
        <c:auto val="1"/>
        <c:lblAlgn val="ctr"/>
        <c:lblOffset val="100"/>
      </c:catAx>
      <c:valAx>
        <c:axId val="49009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8987136"/>
        <c:crosses val="autoZero"/>
        <c:crossBetween val="midCat"/>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100">
                <a:latin typeface="Arial" panose="020B0604020202020204" pitchFamily="34" charset="0"/>
                <a:cs typeface="Arial" panose="020B0604020202020204" pitchFamily="34" charset="0"/>
              </a:rPr>
              <a:t>BDP</a:t>
            </a:r>
            <a:r>
              <a:rPr lang="bs-Latn-BA" sz="1100">
                <a:latin typeface="Arial" panose="020B0604020202020204" pitchFamily="34" charset="0"/>
                <a:cs typeface="Arial" panose="020B0604020202020204" pitchFamily="34" charset="0"/>
              </a:rPr>
              <a:t> FBiH</a:t>
            </a:r>
            <a:r>
              <a:rPr lang="en-US" sz="1100">
                <a:latin typeface="Arial" panose="020B0604020202020204" pitchFamily="34" charset="0"/>
                <a:cs typeface="Arial" panose="020B0604020202020204" pitchFamily="34" charset="0"/>
              </a:rPr>
              <a:t> po glavi stanovinika u KM</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Sheet1!$B$19:$B$22</c:f>
              <c:strCache>
                <c:ptCount val="4"/>
                <c:pt idx="0">
                  <c:v>BDP po glavi stanovinika u KM</c:v>
                </c:pt>
              </c:strCache>
            </c:strRef>
          </c:tx>
          <c:spPr>
            <a:solidFill>
              <a:schemeClr val="accent1"/>
            </a:solidFill>
            <a:ln>
              <a:noFill/>
            </a:ln>
            <a:effectLst/>
            <a:sp3d/>
          </c:spPr>
          <c:cat>
            <c:strRef>
              <c:f>Sheet1!$A$23:$A$26</c:f>
              <c:strCache>
                <c:ptCount val="4"/>
                <c:pt idx="0">
                  <c:v>2019</c:v>
                </c:pt>
                <c:pt idx="1">
                  <c:v>2020</c:v>
                </c:pt>
                <c:pt idx="2">
                  <c:v>2021</c:v>
                </c:pt>
                <c:pt idx="3">
                  <c:v>2022¹</c:v>
                </c:pt>
              </c:strCache>
            </c:strRef>
          </c:cat>
          <c:val>
            <c:numRef>
              <c:f>Sheet1!$B$23:$B$26</c:f>
              <c:numCache>
                <c:formatCode>_-* #,##0\ _K_M_-;\-* #,##0\ _K_M_-;_-* "-"??\ _K_M_-;_-@_-</c:formatCode>
                <c:ptCount val="4"/>
                <c:pt idx="0">
                  <c:v>10584</c:v>
                </c:pt>
                <c:pt idx="1">
                  <c:v>10187</c:v>
                </c:pt>
                <c:pt idx="2">
                  <c:v>11634</c:v>
                </c:pt>
                <c:pt idx="3">
                  <c:v>13776</c:v>
                </c:pt>
              </c:numCache>
            </c:numRef>
          </c:val>
          <c:extLst xmlns:c16r2="http://schemas.microsoft.com/office/drawing/2015/06/chart">
            <c:ext xmlns:c16="http://schemas.microsoft.com/office/drawing/2014/chart" uri="{C3380CC4-5D6E-409C-BE32-E72D297353CC}">
              <c16:uniqueId val="{00000000-9068-4E4B-8FB1-CEDF65BB1648}"/>
            </c:ext>
          </c:extLst>
        </c:ser>
        <c:shape val="box"/>
        <c:axId val="48902528"/>
        <c:axId val="48904064"/>
        <c:axId val="0"/>
      </c:bar3DChart>
      <c:catAx>
        <c:axId val="489025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48904064"/>
        <c:crosses val="autoZero"/>
        <c:auto val="1"/>
        <c:lblAlgn val="ctr"/>
        <c:lblOffset val="100"/>
      </c:catAx>
      <c:valAx>
        <c:axId val="48904064"/>
        <c:scaling>
          <c:orientation val="minMax"/>
        </c:scaling>
        <c:axPos val="l"/>
        <c:majorGridlines>
          <c:spPr>
            <a:ln w="9525" cap="flat" cmpd="sng" algn="ctr">
              <a:solidFill>
                <a:schemeClr val="tx1">
                  <a:lumMod val="15000"/>
                  <a:lumOff val="85000"/>
                </a:schemeClr>
              </a:solidFill>
              <a:round/>
            </a:ln>
            <a:effectLst/>
          </c:spPr>
        </c:majorGridlines>
        <c:numFmt formatCode="_-* #,##0\ _K_M_-;\-* #,##0\ _K_M_-;_-* &quot;-&quot;??\ _K_M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8902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baseline="0">
                <a:solidFill>
                  <a:schemeClr val="tx2"/>
                </a:solidFill>
                <a:latin typeface="+mn-lt"/>
                <a:ea typeface="+mn-ea"/>
                <a:cs typeface="+mn-cs"/>
              </a:defRPr>
            </a:pPr>
            <a:r>
              <a:rPr lang="bs-Latn-BA" sz="1100" b="0">
                <a:latin typeface="Arial" panose="020B0604020202020204" pitchFamily="34" charset="0"/>
                <a:cs typeface="Arial" panose="020B0604020202020204" pitchFamily="34" charset="0"/>
              </a:rPr>
              <a:t>Godišnje stope promjena obima ukupne industrijske proizvodnje 2019. - 2022. g. </a:t>
            </a:r>
          </a:p>
        </c:rich>
      </c:tx>
      <c:spPr>
        <a:noFill/>
        <a:ln>
          <a:noFill/>
        </a:ln>
        <a:effectLst/>
      </c:spPr>
    </c:title>
    <c:plotArea>
      <c:layout/>
      <c:lineChart>
        <c:grouping val="stacked"/>
        <c:ser>
          <c:idx val="0"/>
          <c:order val="0"/>
          <c:spPr>
            <a:ln w="31750"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Arial" panose="020B0604020202020204" pitchFamily="34" charset="0"/>
                    <a:ea typeface="+mn-ea"/>
                    <a:cs typeface="Arial" panose="020B0604020202020204" pitchFamily="34" charset="0"/>
                  </a:defRPr>
                </a:pPr>
                <a:endParaRPr lang="sr-Latn-C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'Industrija FBih'!$B$52:$B$55</c:f>
              <c:numCache>
                <c:formatCode>General</c:formatCode>
                <c:ptCount val="4"/>
                <c:pt idx="0">
                  <c:v>2019</c:v>
                </c:pt>
                <c:pt idx="1">
                  <c:v>2020</c:v>
                </c:pt>
                <c:pt idx="2">
                  <c:v>2021</c:v>
                </c:pt>
                <c:pt idx="3">
                  <c:v>2022</c:v>
                </c:pt>
              </c:numCache>
            </c:numRef>
          </c:cat>
          <c:val>
            <c:numRef>
              <c:f>'Industrija FBih'!$C$52:$C$55</c:f>
              <c:numCache>
                <c:formatCode>General</c:formatCode>
                <c:ptCount val="4"/>
                <c:pt idx="0">
                  <c:v>-2.9</c:v>
                </c:pt>
                <c:pt idx="1">
                  <c:v>-5.9</c:v>
                </c:pt>
                <c:pt idx="2">
                  <c:v>9.8000000000000007</c:v>
                </c:pt>
                <c:pt idx="3">
                  <c:v>1.2</c:v>
                </c:pt>
              </c:numCache>
            </c:numRef>
          </c:val>
          <c:extLst xmlns:c16r2="http://schemas.microsoft.com/office/drawing/2015/06/chart">
            <c:ext xmlns:c16="http://schemas.microsoft.com/office/drawing/2014/chart" uri="{C3380CC4-5D6E-409C-BE32-E72D297353CC}">
              <c16:uniqueId val="{00000000-F4B4-4315-A2A6-7CFF53C68191}"/>
            </c:ext>
          </c:extLst>
        </c:ser>
        <c:dLbls>
          <c:showVal val="1"/>
        </c:dLbls>
        <c:marker val="1"/>
        <c:axId val="48917504"/>
        <c:axId val="48943872"/>
      </c:lineChart>
      <c:catAx>
        <c:axId val="4891750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2"/>
                </a:solidFill>
                <a:latin typeface="Arial" panose="020B0604020202020204" pitchFamily="34" charset="0"/>
                <a:ea typeface="+mn-ea"/>
                <a:cs typeface="Arial" panose="020B0604020202020204" pitchFamily="34" charset="0"/>
              </a:defRPr>
            </a:pPr>
            <a:endParaRPr lang="sr-Latn-CS"/>
          </a:p>
        </c:txPr>
        <c:crossAx val="48943872"/>
        <c:crosses val="autoZero"/>
        <c:auto val="1"/>
        <c:lblAlgn val="ctr"/>
        <c:lblOffset val="100"/>
      </c:catAx>
      <c:valAx>
        <c:axId val="4894387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Arial" panose="020B0604020202020204" pitchFamily="34" charset="0"/>
                <a:ea typeface="+mn-ea"/>
                <a:cs typeface="Arial" panose="020B0604020202020204" pitchFamily="34" charset="0"/>
              </a:defRPr>
            </a:pPr>
            <a:endParaRPr lang="sr-Latn-CS"/>
          </a:p>
        </c:txPr>
        <c:crossAx val="48917504"/>
        <c:crosses val="autoZero"/>
        <c:crossBetween val="between"/>
      </c:valAx>
      <c:spPr>
        <a:noFill/>
        <a:ln>
          <a:noFill/>
        </a:ln>
        <a:effectLst/>
      </c:spPr>
    </c:plotArea>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bs-Latn-BA" sz="1100" b="0">
                <a:latin typeface="Arial" panose="020B0604020202020204" pitchFamily="34" charset="0"/>
                <a:cs typeface="Arial" panose="020B0604020202020204" pitchFamily="34" charset="0"/>
              </a:rPr>
              <a:t>VT razmjena  FBiH 2015.  - 2022. g.; 000 KM</a:t>
            </a:r>
          </a:p>
        </c:rich>
      </c:tx>
      <c:spPr>
        <a:noFill/>
        <a:ln>
          <a:noFill/>
        </a:ln>
        <a:effectLst/>
      </c:spPr>
    </c:title>
    <c:plotArea>
      <c:layout/>
      <c:barChart>
        <c:barDir val="col"/>
        <c:grouping val="clustered"/>
        <c:ser>
          <c:idx val="0"/>
          <c:order val="0"/>
          <c:tx>
            <c:strRef>
              <c:f>'VT FBIH'!$D$40</c:f>
              <c:strCache>
                <c:ptCount val="1"/>
                <c:pt idx="0">
                  <c:v> Izvoz  </c:v>
                </c:pt>
              </c:strCache>
            </c:strRef>
          </c:tx>
          <c:spPr>
            <a:gradFill rotWithShape="1">
              <a:gsLst>
                <a:gs pos="0">
                  <a:schemeClr val="accent1"/>
                </a:gs>
                <a:gs pos="90000">
                  <a:schemeClr val="accent1">
                    <a:shade val="100000"/>
                    <a:satMod val="105000"/>
                  </a:schemeClr>
                </a:gs>
                <a:gs pos="100000">
                  <a:schemeClr val="accent1">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trendline>
            <c:spPr>
              <a:ln w="19050" cap="rnd">
                <a:solidFill>
                  <a:schemeClr val="accent1"/>
                </a:solidFill>
              </a:ln>
              <a:effectLst/>
            </c:spPr>
            <c:trendlineType val="poly"/>
            <c:order val="2"/>
          </c:trendline>
          <c:cat>
            <c:numRef>
              <c:f>'VT FBIH'!$C$41:$C$48</c:f>
              <c:numCache>
                <c:formatCode>General</c:formatCode>
                <c:ptCount val="8"/>
                <c:pt idx="0">
                  <c:v>2015</c:v>
                </c:pt>
                <c:pt idx="1">
                  <c:v>2016</c:v>
                </c:pt>
                <c:pt idx="2">
                  <c:v>2017</c:v>
                </c:pt>
                <c:pt idx="3">
                  <c:v>2018</c:v>
                </c:pt>
                <c:pt idx="4">
                  <c:v>2019</c:v>
                </c:pt>
                <c:pt idx="5">
                  <c:v>2020</c:v>
                </c:pt>
                <c:pt idx="6">
                  <c:v>2021</c:v>
                </c:pt>
                <c:pt idx="7">
                  <c:v>2022</c:v>
                </c:pt>
              </c:numCache>
            </c:numRef>
          </c:cat>
          <c:val>
            <c:numRef>
              <c:f>'VT FBIH'!$D$41:$D$48</c:f>
              <c:numCache>
                <c:formatCode>_-* #,##0\ _K_M_-;\-* #,##0\ _K_M_-;_-* "-"??\ _K_M_-;_-@_-</c:formatCode>
                <c:ptCount val="8"/>
                <c:pt idx="0">
                  <c:v>6142381</c:v>
                </c:pt>
                <c:pt idx="1">
                  <c:v>6259782</c:v>
                </c:pt>
                <c:pt idx="2">
                  <c:v>7254541</c:v>
                </c:pt>
                <c:pt idx="3">
                  <c:v>7911910</c:v>
                </c:pt>
                <c:pt idx="4">
                  <c:v>7620114</c:v>
                </c:pt>
                <c:pt idx="5">
                  <c:v>6871411</c:v>
                </c:pt>
                <c:pt idx="6">
                  <c:v>9571099</c:v>
                </c:pt>
                <c:pt idx="7">
                  <c:v>12106706</c:v>
                </c:pt>
              </c:numCache>
            </c:numRef>
          </c:val>
          <c:extLst xmlns:c16r2="http://schemas.microsoft.com/office/drawing/2015/06/chart">
            <c:ext xmlns:c16="http://schemas.microsoft.com/office/drawing/2014/chart" uri="{C3380CC4-5D6E-409C-BE32-E72D297353CC}">
              <c16:uniqueId val="{00000000-B046-4B74-AA10-607416BAD5AD}"/>
            </c:ext>
          </c:extLst>
        </c:ser>
        <c:ser>
          <c:idx val="1"/>
          <c:order val="1"/>
          <c:tx>
            <c:strRef>
              <c:f>'VT FBIH'!$E$40</c:f>
              <c:strCache>
                <c:ptCount val="1"/>
                <c:pt idx="0">
                  <c:v>Uvoz </c:v>
                </c:pt>
              </c:strCache>
            </c:strRef>
          </c:tx>
          <c:spPr>
            <a:gradFill rotWithShape="1">
              <a:gsLst>
                <a:gs pos="0">
                  <a:schemeClr val="accent3"/>
                </a:gs>
                <a:gs pos="90000">
                  <a:schemeClr val="accent3">
                    <a:shade val="100000"/>
                    <a:satMod val="105000"/>
                  </a:schemeClr>
                </a:gs>
                <a:gs pos="100000">
                  <a:schemeClr val="accent3">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trendline>
            <c:spPr>
              <a:ln w="19050" cap="rnd">
                <a:solidFill>
                  <a:schemeClr val="accent3"/>
                </a:solidFill>
              </a:ln>
              <a:effectLst/>
            </c:spPr>
            <c:trendlineType val="poly"/>
            <c:order val="2"/>
          </c:trendline>
          <c:cat>
            <c:numRef>
              <c:f>'VT FBIH'!$C$41:$C$48</c:f>
              <c:numCache>
                <c:formatCode>General</c:formatCode>
                <c:ptCount val="8"/>
                <c:pt idx="0">
                  <c:v>2015</c:v>
                </c:pt>
                <c:pt idx="1">
                  <c:v>2016</c:v>
                </c:pt>
                <c:pt idx="2">
                  <c:v>2017</c:v>
                </c:pt>
                <c:pt idx="3">
                  <c:v>2018</c:v>
                </c:pt>
                <c:pt idx="4">
                  <c:v>2019</c:v>
                </c:pt>
                <c:pt idx="5">
                  <c:v>2020</c:v>
                </c:pt>
                <c:pt idx="6">
                  <c:v>2021</c:v>
                </c:pt>
                <c:pt idx="7">
                  <c:v>2022</c:v>
                </c:pt>
              </c:numCache>
            </c:numRef>
          </c:cat>
          <c:val>
            <c:numRef>
              <c:f>'VT FBIH'!$E$41:$E$48</c:f>
              <c:numCache>
                <c:formatCode>_-* #,##0\ _K_M_-;\-* #,##0\ _K_M_-;_-* "-"??\ _K_M_-;_-@_-</c:formatCode>
                <c:ptCount val="8"/>
                <c:pt idx="0">
                  <c:v>10678330</c:v>
                </c:pt>
                <c:pt idx="1">
                  <c:v>10925411</c:v>
                </c:pt>
                <c:pt idx="2">
                  <c:v>12435049</c:v>
                </c:pt>
                <c:pt idx="3">
                  <c:v>13266591</c:v>
                </c:pt>
                <c:pt idx="4">
                  <c:v>13844811</c:v>
                </c:pt>
                <c:pt idx="5">
                  <c:v>11680597</c:v>
                </c:pt>
                <c:pt idx="6">
                  <c:v>15131784</c:v>
                </c:pt>
                <c:pt idx="7">
                  <c:v>20395216</c:v>
                </c:pt>
              </c:numCache>
            </c:numRef>
          </c:val>
          <c:extLst xmlns:c16r2="http://schemas.microsoft.com/office/drawing/2015/06/chart">
            <c:ext xmlns:c16="http://schemas.microsoft.com/office/drawing/2014/chart" uri="{C3380CC4-5D6E-409C-BE32-E72D297353CC}">
              <c16:uniqueId val="{00000001-B046-4B74-AA10-607416BAD5AD}"/>
            </c:ext>
          </c:extLst>
        </c:ser>
        <c:ser>
          <c:idx val="2"/>
          <c:order val="2"/>
          <c:tx>
            <c:strRef>
              <c:f>'VT FBIH'!$F$40</c:f>
              <c:strCache>
                <c:ptCount val="1"/>
                <c:pt idx="0">
                  <c:v>VT deficit</c:v>
                </c:pt>
              </c:strCache>
            </c:strRef>
          </c:tx>
          <c:spPr>
            <a:gradFill rotWithShape="1">
              <a:gsLst>
                <a:gs pos="0">
                  <a:schemeClr val="accent5"/>
                </a:gs>
                <a:gs pos="90000">
                  <a:schemeClr val="accent5">
                    <a:shade val="100000"/>
                    <a:satMod val="105000"/>
                  </a:schemeClr>
                </a:gs>
                <a:gs pos="100000">
                  <a:schemeClr val="accent5">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trendline>
            <c:spPr>
              <a:ln w="19050" cap="rnd">
                <a:solidFill>
                  <a:schemeClr val="accent5"/>
                </a:solidFill>
              </a:ln>
              <a:effectLst/>
            </c:spPr>
            <c:trendlineType val="linear"/>
          </c:trendline>
          <c:cat>
            <c:numRef>
              <c:f>'VT FBIH'!$C$41:$C$48</c:f>
              <c:numCache>
                <c:formatCode>General</c:formatCode>
                <c:ptCount val="8"/>
                <c:pt idx="0">
                  <c:v>2015</c:v>
                </c:pt>
                <c:pt idx="1">
                  <c:v>2016</c:v>
                </c:pt>
                <c:pt idx="2">
                  <c:v>2017</c:v>
                </c:pt>
                <c:pt idx="3">
                  <c:v>2018</c:v>
                </c:pt>
                <c:pt idx="4">
                  <c:v>2019</c:v>
                </c:pt>
                <c:pt idx="5">
                  <c:v>2020</c:v>
                </c:pt>
                <c:pt idx="6">
                  <c:v>2021</c:v>
                </c:pt>
                <c:pt idx="7">
                  <c:v>2022</c:v>
                </c:pt>
              </c:numCache>
            </c:numRef>
          </c:cat>
          <c:val>
            <c:numRef>
              <c:f>'VT FBIH'!$F$41:$F$48</c:f>
              <c:numCache>
                <c:formatCode>_-* #,##0\ _K_M_-;\-* #,##0\ _K_M_-;_-* "-"??\ _K_M_-;_-@_-</c:formatCode>
                <c:ptCount val="8"/>
                <c:pt idx="0">
                  <c:v>-4535949</c:v>
                </c:pt>
                <c:pt idx="1">
                  <c:v>-4665629</c:v>
                </c:pt>
                <c:pt idx="2">
                  <c:v>-5180508</c:v>
                </c:pt>
                <c:pt idx="3">
                  <c:v>-5354681</c:v>
                </c:pt>
                <c:pt idx="4">
                  <c:v>-6224697</c:v>
                </c:pt>
                <c:pt idx="5">
                  <c:v>-4809186</c:v>
                </c:pt>
                <c:pt idx="6">
                  <c:v>-5560685</c:v>
                </c:pt>
                <c:pt idx="7">
                  <c:v>-8288510</c:v>
                </c:pt>
              </c:numCache>
            </c:numRef>
          </c:val>
          <c:extLst xmlns:c16r2="http://schemas.microsoft.com/office/drawing/2015/06/chart">
            <c:ext xmlns:c16="http://schemas.microsoft.com/office/drawing/2014/chart" uri="{C3380CC4-5D6E-409C-BE32-E72D297353CC}">
              <c16:uniqueId val="{00000002-B046-4B74-AA10-607416BAD5AD}"/>
            </c:ext>
          </c:extLst>
        </c:ser>
        <c:gapWidth val="100"/>
        <c:overlap val="-24"/>
        <c:axId val="49053696"/>
        <c:axId val="49055232"/>
      </c:barChart>
      <c:catAx>
        <c:axId val="4905369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9055232"/>
        <c:crosses val="autoZero"/>
        <c:auto val="1"/>
        <c:lblAlgn val="ctr"/>
        <c:lblOffset val="100"/>
      </c:catAx>
      <c:valAx>
        <c:axId val="49055232"/>
        <c:scaling>
          <c:orientation val="minMax"/>
        </c:scaling>
        <c:axPos val="l"/>
        <c:majorGridlines>
          <c:spPr>
            <a:ln w="9525" cap="flat" cmpd="sng" algn="ctr">
              <a:solidFill>
                <a:schemeClr val="tx1">
                  <a:lumMod val="15000"/>
                  <a:lumOff val="85000"/>
                </a:schemeClr>
              </a:solidFill>
              <a:round/>
            </a:ln>
            <a:effectLst/>
          </c:spPr>
        </c:majorGridlines>
        <c:numFmt formatCode="_-* #,##0\ _K_M_-;\-* #,##0\ _K_M_-;_-* &quot;-&quot;??\ _K_M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49053696"/>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bs-Latn-BA" sz="1050">
                <a:latin typeface="Arial" panose="020B0604020202020204" pitchFamily="34" charset="0"/>
                <a:cs typeface="Arial" panose="020B0604020202020204" pitchFamily="34" charset="0"/>
              </a:rPr>
              <a:t>Izvoz - uvoz sa najznačajnijim partnerima FBiH u 2022;</a:t>
            </a:r>
          </a:p>
          <a:p>
            <a:pPr>
              <a:defRPr lang="en-US" sz="1600" b="1" i="0" u="none" strike="noStrike" kern="1200" baseline="0">
                <a:solidFill>
                  <a:schemeClr val="tx1">
                    <a:lumMod val="65000"/>
                    <a:lumOff val="35000"/>
                  </a:schemeClr>
                </a:solidFill>
                <a:latin typeface="+mn-lt"/>
                <a:ea typeface="+mn-ea"/>
                <a:cs typeface="+mn-cs"/>
              </a:defRPr>
            </a:pPr>
            <a:r>
              <a:rPr lang="bs-Latn-BA" sz="1050">
                <a:latin typeface="Arial" panose="020B0604020202020204" pitchFamily="34" charset="0"/>
                <a:cs typeface="Arial" panose="020B0604020202020204" pitchFamily="34" charset="0"/>
              </a:rPr>
              <a:t> 000 KM</a:t>
            </a:r>
          </a:p>
        </c:rich>
      </c:tx>
      <c:spPr>
        <a:noFill/>
        <a:ln>
          <a:noFill/>
        </a:ln>
        <a:effectLst/>
      </c:spPr>
    </c:title>
    <c:plotArea>
      <c:layout/>
      <c:barChart>
        <c:barDir val="col"/>
        <c:grouping val="clustered"/>
        <c:ser>
          <c:idx val="0"/>
          <c:order val="0"/>
          <c:tx>
            <c:strRef>
              <c:f>Sheet1!$M$14</c:f>
              <c:strCache>
                <c:ptCount val="1"/>
                <c:pt idx="0">
                  <c:v>Izvoz</c:v>
                </c:pt>
              </c:strCache>
            </c:strRef>
          </c:tx>
          <c:spPr>
            <a:gradFill rotWithShape="1">
              <a:gsLst>
                <a:gs pos="0">
                  <a:schemeClr val="accent1"/>
                </a:gs>
                <a:gs pos="90000">
                  <a:schemeClr val="accent1">
                    <a:shade val="100000"/>
                    <a:satMod val="105000"/>
                  </a:schemeClr>
                </a:gs>
                <a:gs pos="100000">
                  <a:schemeClr val="accent1">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strRef>
              <c:f>Sheet1!$N$13:$R$13</c:f>
              <c:strCache>
                <c:ptCount val="5"/>
                <c:pt idx="0">
                  <c:v>Njemačka</c:v>
                </c:pt>
                <c:pt idx="1">
                  <c:v>Hrvatska</c:v>
                </c:pt>
                <c:pt idx="2">
                  <c:v>Srbija</c:v>
                </c:pt>
                <c:pt idx="3">
                  <c:v>Italija</c:v>
                </c:pt>
                <c:pt idx="4">
                  <c:v>Austrija</c:v>
                </c:pt>
              </c:strCache>
            </c:strRef>
          </c:cat>
          <c:val>
            <c:numRef>
              <c:f>Sheet1!$N$14:$R$14</c:f>
              <c:numCache>
                <c:formatCode>_-* #,##0\ _K_M_-;\-* #,##0\ _K_M_-;_-* "-"??\ _K_M_-;_-@_-</c:formatCode>
                <c:ptCount val="5"/>
                <c:pt idx="0">
                  <c:v>2013612</c:v>
                </c:pt>
                <c:pt idx="1">
                  <c:v>1738991</c:v>
                </c:pt>
                <c:pt idx="2">
                  <c:v>1396575</c:v>
                </c:pt>
                <c:pt idx="3">
                  <c:v>1267197</c:v>
                </c:pt>
                <c:pt idx="4">
                  <c:v>1227382</c:v>
                </c:pt>
              </c:numCache>
            </c:numRef>
          </c:val>
          <c:extLst xmlns:c16r2="http://schemas.microsoft.com/office/drawing/2015/06/chart">
            <c:ext xmlns:c16="http://schemas.microsoft.com/office/drawing/2014/chart" uri="{C3380CC4-5D6E-409C-BE32-E72D297353CC}">
              <c16:uniqueId val="{00000000-FFF0-418A-91B1-C85E4BFE4A2E}"/>
            </c:ext>
          </c:extLst>
        </c:ser>
        <c:ser>
          <c:idx val="1"/>
          <c:order val="1"/>
          <c:tx>
            <c:strRef>
              <c:f>Sheet1!$M$15</c:f>
              <c:strCache>
                <c:ptCount val="1"/>
                <c:pt idx="0">
                  <c:v>Uvoz</c:v>
                </c:pt>
              </c:strCache>
            </c:strRef>
          </c:tx>
          <c:spPr>
            <a:gradFill rotWithShape="1">
              <a:gsLst>
                <a:gs pos="0">
                  <a:schemeClr val="accent2"/>
                </a:gs>
                <a:gs pos="90000">
                  <a:schemeClr val="accent2">
                    <a:shade val="100000"/>
                    <a:satMod val="105000"/>
                  </a:schemeClr>
                </a:gs>
                <a:gs pos="100000">
                  <a:schemeClr val="accent2">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strRef>
              <c:f>Sheet1!$N$13:$R$13</c:f>
              <c:strCache>
                <c:ptCount val="5"/>
                <c:pt idx="0">
                  <c:v>Njemačka</c:v>
                </c:pt>
                <c:pt idx="1">
                  <c:v>Hrvatska</c:v>
                </c:pt>
                <c:pt idx="2">
                  <c:v>Srbija</c:v>
                </c:pt>
                <c:pt idx="3">
                  <c:v>Italija</c:v>
                </c:pt>
                <c:pt idx="4">
                  <c:v>Austrija</c:v>
                </c:pt>
              </c:strCache>
            </c:strRef>
          </c:cat>
          <c:val>
            <c:numRef>
              <c:f>Sheet1!$N$15:$R$15</c:f>
              <c:numCache>
                <c:formatCode>_-* #,##0\ _K_M_-;\-* #,##0\ _K_M_-;_-* "-"??\ _K_M_-;_-@_-</c:formatCode>
                <c:ptCount val="5"/>
                <c:pt idx="0">
                  <c:v>2241044</c:v>
                </c:pt>
                <c:pt idx="1">
                  <c:v>2321300</c:v>
                </c:pt>
                <c:pt idx="2">
                  <c:v>1641060</c:v>
                </c:pt>
                <c:pt idx="3">
                  <c:v>2342031</c:v>
                </c:pt>
                <c:pt idx="4">
                  <c:v>741632</c:v>
                </c:pt>
              </c:numCache>
            </c:numRef>
          </c:val>
          <c:extLst xmlns:c16r2="http://schemas.microsoft.com/office/drawing/2015/06/chart">
            <c:ext xmlns:c16="http://schemas.microsoft.com/office/drawing/2014/chart" uri="{C3380CC4-5D6E-409C-BE32-E72D297353CC}">
              <c16:uniqueId val="{00000001-FFF0-418A-91B1-C85E4BFE4A2E}"/>
            </c:ext>
          </c:extLst>
        </c:ser>
        <c:ser>
          <c:idx val="2"/>
          <c:order val="2"/>
          <c:tx>
            <c:strRef>
              <c:f>Sheet1!$M$16</c:f>
              <c:strCache>
                <c:ptCount val="1"/>
                <c:pt idx="0">
                  <c:v>VT bilans</c:v>
                </c:pt>
              </c:strCache>
            </c:strRef>
          </c:tx>
          <c:spPr>
            <a:gradFill rotWithShape="1">
              <a:gsLst>
                <a:gs pos="0">
                  <a:schemeClr val="accent3"/>
                </a:gs>
                <a:gs pos="90000">
                  <a:schemeClr val="accent3">
                    <a:shade val="100000"/>
                    <a:satMod val="105000"/>
                  </a:schemeClr>
                </a:gs>
                <a:gs pos="100000">
                  <a:schemeClr val="accent3">
                    <a:shade val="80000"/>
                    <a:satMod val="120000"/>
                  </a:schemeClr>
                </a:gs>
              </a:gsLst>
              <a:path path="circle">
                <a:fillToRect l="100000" t="100000" r="100000" b="100000"/>
              </a:path>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strRef>
              <c:f>Sheet1!$N$13:$R$13</c:f>
              <c:strCache>
                <c:ptCount val="5"/>
                <c:pt idx="0">
                  <c:v>Njemačka</c:v>
                </c:pt>
                <c:pt idx="1">
                  <c:v>Hrvatska</c:v>
                </c:pt>
                <c:pt idx="2">
                  <c:v>Srbija</c:v>
                </c:pt>
                <c:pt idx="3">
                  <c:v>Italija</c:v>
                </c:pt>
                <c:pt idx="4">
                  <c:v>Austrija</c:v>
                </c:pt>
              </c:strCache>
            </c:strRef>
          </c:cat>
          <c:val>
            <c:numRef>
              <c:f>Sheet1!$N$16:$R$16</c:f>
              <c:numCache>
                <c:formatCode>_-* #,##0\ _K_M_-;\-* #,##0\ _K_M_-;_-* "-"??\ _K_M_-;_-@_-</c:formatCode>
                <c:ptCount val="5"/>
                <c:pt idx="0">
                  <c:v>-227432</c:v>
                </c:pt>
                <c:pt idx="1">
                  <c:v>-582309</c:v>
                </c:pt>
                <c:pt idx="2">
                  <c:v>-244485</c:v>
                </c:pt>
                <c:pt idx="3">
                  <c:v>-1074834</c:v>
                </c:pt>
                <c:pt idx="4">
                  <c:v>485750</c:v>
                </c:pt>
              </c:numCache>
            </c:numRef>
          </c:val>
          <c:extLst xmlns:c16r2="http://schemas.microsoft.com/office/drawing/2015/06/chart">
            <c:ext xmlns:c16="http://schemas.microsoft.com/office/drawing/2014/chart" uri="{C3380CC4-5D6E-409C-BE32-E72D297353CC}">
              <c16:uniqueId val="{00000002-FFF0-418A-91B1-C85E4BFE4A2E}"/>
            </c:ext>
          </c:extLst>
        </c:ser>
        <c:gapWidth val="100"/>
        <c:overlap val="-24"/>
        <c:axId val="50302976"/>
        <c:axId val="50304512"/>
      </c:barChart>
      <c:catAx>
        <c:axId val="5030297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50304512"/>
        <c:crosses val="autoZero"/>
        <c:auto val="1"/>
        <c:lblAlgn val="ctr"/>
        <c:lblOffset val="100"/>
      </c:catAx>
      <c:valAx>
        <c:axId val="50304512"/>
        <c:scaling>
          <c:orientation val="minMax"/>
        </c:scaling>
        <c:axPos val="l"/>
        <c:majorGridlines>
          <c:spPr>
            <a:ln w="9525" cap="flat" cmpd="sng" algn="ctr">
              <a:solidFill>
                <a:schemeClr val="tx1">
                  <a:lumMod val="15000"/>
                  <a:lumOff val="85000"/>
                </a:schemeClr>
              </a:solidFill>
              <a:round/>
            </a:ln>
            <a:effectLst/>
          </c:spPr>
        </c:majorGridlines>
        <c:numFmt formatCode="_-* #,##0\ _K_M_-;\-* #,##0\ _K_M_-;_-* &quot;-&quot;??\ _K_M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50302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bs-Latn-BA" sz="1000">
                <a:latin typeface="Arial" panose="020B0604020202020204" pitchFamily="34" charset="0"/>
                <a:cs typeface="Arial" panose="020B0604020202020204" pitchFamily="34" charset="0"/>
              </a:rPr>
              <a:t>Trend kretanja potrošačkih cijena (%) u FBiH 2015.- 2022. </a:t>
            </a:r>
          </a:p>
        </c:rich>
      </c:tx>
      <c:spPr>
        <a:noFill/>
        <a:ln>
          <a:noFill/>
        </a:ln>
        <a:effectLst/>
      </c:spPr>
    </c:title>
    <c:plotArea>
      <c:layout/>
      <c:areaChart>
        <c:grouping val="standard"/>
        <c:ser>
          <c:idx val="0"/>
          <c:order val="0"/>
          <c:tx>
            <c:strRef>
              <c:f>Cijene!$C$4</c:f>
              <c:strCache>
                <c:ptCount val="1"/>
                <c:pt idx="0">
                  <c:v>ø</c:v>
                </c:pt>
              </c:strCache>
            </c:strRef>
          </c:tx>
          <c:spPr>
            <a:gradFill rotWithShape="1">
              <a:gsLst>
                <a:gs pos="0">
                  <a:schemeClr val="accent1"/>
                </a:gs>
                <a:gs pos="90000">
                  <a:schemeClr val="accent1">
                    <a:shade val="100000"/>
                    <a:satMod val="105000"/>
                  </a:schemeClr>
                </a:gs>
                <a:gs pos="100000">
                  <a:schemeClr val="accent1">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lt1">
                        <a:lumMod val="85000"/>
                      </a:schemeClr>
                    </a:solidFill>
                    <a:latin typeface="Arial" panose="020B0604020202020204" pitchFamily="34" charset="0"/>
                    <a:ea typeface="+mn-ea"/>
                    <a:cs typeface="Arial" panose="020B0604020202020204" pitchFamily="34" charset="0"/>
                  </a:defRPr>
                </a:pPr>
                <a:endParaRPr lang="sr-Latn-C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Cijene!$B$5:$B$12</c:f>
              <c:numCache>
                <c:formatCode>General</c:formatCode>
                <c:ptCount val="8"/>
                <c:pt idx="0">
                  <c:v>2015</c:v>
                </c:pt>
                <c:pt idx="1">
                  <c:v>2016</c:v>
                </c:pt>
                <c:pt idx="2">
                  <c:v>2017</c:v>
                </c:pt>
                <c:pt idx="3">
                  <c:v>2018</c:v>
                </c:pt>
                <c:pt idx="4">
                  <c:v>2019</c:v>
                </c:pt>
                <c:pt idx="5">
                  <c:v>2020</c:v>
                </c:pt>
                <c:pt idx="6">
                  <c:v>2021</c:v>
                </c:pt>
                <c:pt idx="7">
                  <c:v>2022</c:v>
                </c:pt>
              </c:numCache>
            </c:numRef>
          </c:cat>
          <c:val>
            <c:numRef>
              <c:f>Cijene!$C$5:$C$12</c:f>
              <c:numCache>
                <c:formatCode>General</c:formatCode>
                <c:ptCount val="8"/>
                <c:pt idx="0">
                  <c:v>-0.70000000000000062</c:v>
                </c:pt>
                <c:pt idx="1">
                  <c:v>-1.1000000000000001</c:v>
                </c:pt>
                <c:pt idx="2">
                  <c:v>1.7</c:v>
                </c:pt>
                <c:pt idx="3">
                  <c:v>1.6</c:v>
                </c:pt>
                <c:pt idx="4">
                  <c:v>0.60000000000000064</c:v>
                </c:pt>
                <c:pt idx="5">
                  <c:v>-0.9</c:v>
                </c:pt>
                <c:pt idx="6">
                  <c:v>2.1</c:v>
                </c:pt>
                <c:pt idx="7">
                  <c:v>14.9</c:v>
                </c:pt>
              </c:numCache>
            </c:numRef>
          </c:val>
          <c:extLst xmlns:c16r2="http://schemas.microsoft.com/office/drawing/2015/06/chart">
            <c:ext xmlns:c16="http://schemas.microsoft.com/office/drawing/2014/chart" uri="{C3380CC4-5D6E-409C-BE32-E72D297353CC}">
              <c16:uniqueId val="{00000000-638E-4453-97F1-7B970DF4EECB}"/>
            </c:ext>
          </c:extLst>
        </c:ser>
        <c:dLbls>
          <c:showVal val="1"/>
        </c:dLbls>
        <c:axId val="50329472"/>
        <c:axId val="50331008"/>
      </c:areaChart>
      <c:catAx>
        <c:axId val="50329472"/>
        <c:scaling>
          <c:orientation val="minMax"/>
        </c:scaling>
        <c:axPos val="b"/>
        <c:numFmt formatCode="General" sourceLinked="1"/>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Arial" panose="020B0604020202020204" pitchFamily="34" charset="0"/>
                <a:ea typeface="+mn-ea"/>
                <a:cs typeface="Arial" panose="020B0604020202020204" pitchFamily="34" charset="0"/>
              </a:defRPr>
            </a:pPr>
            <a:endParaRPr lang="sr-Latn-CS"/>
          </a:p>
        </c:txPr>
        <c:crossAx val="50331008"/>
        <c:crosses val="autoZero"/>
        <c:auto val="1"/>
        <c:lblAlgn val="ctr"/>
        <c:lblOffset val="100"/>
      </c:catAx>
      <c:valAx>
        <c:axId val="50331008"/>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lt1">
                    <a:lumMod val="85000"/>
                  </a:schemeClr>
                </a:solidFill>
                <a:latin typeface="Arial" panose="020B0604020202020204" pitchFamily="34" charset="0"/>
                <a:ea typeface="+mn-ea"/>
                <a:cs typeface="Arial" panose="020B0604020202020204" pitchFamily="34" charset="0"/>
              </a:defRPr>
            </a:pPr>
            <a:endParaRPr lang="sr-Latn-CS"/>
          </a:p>
        </c:txPr>
        <c:crossAx val="50329472"/>
        <c:crosses val="autoZero"/>
        <c:crossBetween val="midCat"/>
      </c:valAx>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C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bs-Latn-BA" sz="1050" b="0">
                <a:latin typeface="Arial" panose="020B0604020202020204" pitchFamily="34" charset="0"/>
                <a:cs typeface="Arial" panose="020B0604020202020204" pitchFamily="34" charset="0"/>
              </a:rPr>
              <a:t>Tržište rada u FBiH 2018.</a:t>
            </a:r>
            <a:r>
              <a:rPr lang="bs-Latn-BA" sz="1050" b="0" baseline="0">
                <a:latin typeface="Arial" panose="020B0604020202020204" pitchFamily="34" charset="0"/>
                <a:cs typeface="Arial" panose="020B0604020202020204" pitchFamily="34" charset="0"/>
              </a:rPr>
              <a:t> </a:t>
            </a:r>
            <a:r>
              <a:rPr lang="bs-Latn-BA" sz="1050" b="0">
                <a:latin typeface="Arial" panose="020B0604020202020204" pitchFamily="34" charset="0"/>
                <a:cs typeface="Arial" panose="020B0604020202020204" pitchFamily="34" charset="0"/>
              </a:rPr>
              <a:t>- 2022. g.</a:t>
            </a:r>
          </a:p>
        </c:rich>
      </c:tx>
      <c:spPr>
        <a:noFill/>
        <a:ln>
          <a:noFill/>
        </a:ln>
        <a:effectLst/>
      </c:spPr>
    </c:title>
    <c:plotArea>
      <c:layout/>
      <c:barChart>
        <c:barDir val="col"/>
        <c:grouping val="stacked"/>
        <c:ser>
          <c:idx val="0"/>
          <c:order val="0"/>
          <c:tx>
            <c:strRef>
              <c:f>'Tržište rada FBiH'!$D$6:$D$7</c:f>
              <c:strCache>
                <c:ptCount val="2"/>
                <c:pt idx="1">
                  <c:v>Zaposleni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numRef>
              <c:f>'Tržište rada FBiH'!$C$8:$C$12</c:f>
              <c:numCache>
                <c:formatCode>General</c:formatCode>
                <c:ptCount val="5"/>
                <c:pt idx="0">
                  <c:v>2018</c:v>
                </c:pt>
                <c:pt idx="1">
                  <c:v>2019</c:v>
                </c:pt>
                <c:pt idx="2">
                  <c:v>2020</c:v>
                </c:pt>
                <c:pt idx="3">
                  <c:v>2021</c:v>
                </c:pt>
                <c:pt idx="4">
                  <c:v>2022</c:v>
                </c:pt>
              </c:numCache>
            </c:numRef>
          </c:cat>
          <c:val>
            <c:numRef>
              <c:f>'Tržište rada FBiH'!$D$8:$D$12</c:f>
              <c:numCache>
                <c:formatCode>_-* #,##0\ _K_M_-;\-* #,##0\ _K_M_-;_-* "-"??\ _K_M_-;_-@_-</c:formatCode>
                <c:ptCount val="5"/>
                <c:pt idx="0">
                  <c:v>519800</c:v>
                </c:pt>
                <c:pt idx="1">
                  <c:v>531483</c:v>
                </c:pt>
                <c:pt idx="2">
                  <c:v>520162</c:v>
                </c:pt>
                <c:pt idx="3">
                  <c:v>525397</c:v>
                </c:pt>
                <c:pt idx="4">
                  <c:v>535665</c:v>
                </c:pt>
              </c:numCache>
            </c:numRef>
          </c:val>
          <c:extLst xmlns:c16r2="http://schemas.microsoft.com/office/drawing/2015/06/chart">
            <c:ext xmlns:c16="http://schemas.microsoft.com/office/drawing/2014/chart" uri="{C3380CC4-5D6E-409C-BE32-E72D297353CC}">
              <c16:uniqueId val="{00000000-6193-4DC5-957C-95BA4B55F1C5}"/>
            </c:ext>
          </c:extLst>
        </c:ser>
        <c:ser>
          <c:idx val="1"/>
          <c:order val="1"/>
          <c:tx>
            <c:strRef>
              <c:f>'Tržište rada FBiH'!$E$6:$E$7</c:f>
              <c:strCache>
                <c:ptCount val="2"/>
                <c:pt idx="1">
                  <c:v>Nezaposleni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numRef>
              <c:f>'Tržište rada FBiH'!$C$8:$C$12</c:f>
              <c:numCache>
                <c:formatCode>General</c:formatCode>
                <c:ptCount val="5"/>
                <c:pt idx="0">
                  <c:v>2018</c:v>
                </c:pt>
                <c:pt idx="1">
                  <c:v>2019</c:v>
                </c:pt>
                <c:pt idx="2">
                  <c:v>2020</c:v>
                </c:pt>
                <c:pt idx="3">
                  <c:v>2021</c:v>
                </c:pt>
                <c:pt idx="4">
                  <c:v>2022</c:v>
                </c:pt>
              </c:numCache>
            </c:numRef>
          </c:cat>
          <c:val>
            <c:numRef>
              <c:f>'Tržište rada FBiH'!$E$8:$E$12</c:f>
              <c:numCache>
                <c:formatCode>_-* #,##0\ _K_M_-;\-* #,##0\ _K_M_-;_-* "-"??\ _K_M_-;_-@_-</c:formatCode>
                <c:ptCount val="5"/>
                <c:pt idx="0">
                  <c:v>335610</c:v>
                </c:pt>
                <c:pt idx="1">
                  <c:v>313570</c:v>
                </c:pt>
                <c:pt idx="2">
                  <c:v>321581</c:v>
                </c:pt>
                <c:pt idx="3">
                  <c:v>311679</c:v>
                </c:pt>
                <c:pt idx="4">
                  <c:v>289912</c:v>
                </c:pt>
              </c:numCache>
            </c:numRef>
          </c:val>
          <c:extLst xmlns:c16r2="http://schemas.microsoft.com/office/drawing/2015/06/chart">
            <c:ext xmlns:c16="http://schemas.microsoft.com/office/drawing/2014/chart" uri="{C3380CC4-5D6E-409C-BE32-E72D297353CC}">
              <c16:uniqueId val="{00000001-6193-4DC5-957C-95BA4B55F1C5}"/>
            </c:ext>
          </c:extLst>
        </c:ser>
        <c:overlap val="100"/>
        <c:serLines>
          <c:spPr>
            <a:ln w="9525" cap="flat" cmpd="sng" algn="ctr">
              <a:solidFill>
                <a:schemeClr val="tx1">
                  <a:lumMod val="35000"/>
                  <a:lumOff val="65000"/>
                </a:schemeClr>
              </a:solidFill>
              <a:round/>
            </a:ln>
            <a:effectLst/>
          </c:spPr>
        </c:serLines>
        <c:axId val="50384896"/>
        <c:axId val="50386432"/>
      </c:barChart>
      <c:catAx>
        <c:axId val="5038489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50386432"/>
        <c:crosses val="autoZero"/>
        <c:auto val="1"/>
        <c:lblAlgn val="ctr"/>
        <c:lblOffset val="100"/>
      </c:catAx>
      <c:valAx>
        <c:axId val="50386432"/>
        <c:scaling>
          <c:orientation val="minMax"/>
        </c:scaling>
        <c:axPos val="l"/>
        <c:majorGridlines>
          <c:spPr>
            <a:ln w="9525" cap="flat" cmpd="sng" algn="ctr">
              <a:solidFill>
                <a:schemeClr val="tx1">
                  <a:lumMod val="15000"/>
                  <a:lumOff val="85000"/>
                </a:schemeClr>
              </a:solidFill>
              <a:round/>
            </a:ln>
            <a:effectLst/>
          </c:spPr>
        </c:majorGridlines>
        <c:numFmt formatCode="_-* #,##0\ _K_M_-;\-* #,##0\ _K_M_-;_-* &quot;-&quot;??\ _K_M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50384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600" b="0" i="0" u="none" strike="noStrike" kern="1200" baseline="0">
                <a:solidFill>
                  <a:schemeClr val="tx1">
                    <a:lumMod val="65000"/>
                    <a:lumOff val="35000"/>
                  </a:schemeClr>
                </a:solidFill>
                <a:latin typeface="+mn-lt"/>
                <a:ea typeface="+mn-ea"/>
                <a:cs typeface="+mn-cs"/>
              </a:defRPr>
            </a:pPr>
            <a:r>
              <a:rPr lang="bs-Latn-BA" sz="1000" b="0">
                <a:latin typeface="Arial" panose="020B0604020202020204" pitchFamily="34" charset="0"/>
                <a:cs typeface="Arial" panose="020B0604020202020204" pitchFamily="34" charset="0"/>
              </a:rPr>
              <a:t>Bruto i neto plate u FBiH 2019.</a:t>
            </a:r>
            <a:r>
              <a:rPr lang="bs-Latn-BA" sz="1000" b="0" baseline="0">
                <a:latin typeface="Arial" panose="020B0604020202020204" pitchFamily="34" charset="0"/>
                <a:cs typeface="Arial" panose="020B0604020202020204" pitchFamily="34" charset="0"/>
              </a:rPr>
              <a:t> </a:t>
            </a:r>
            <a:r>
              <a:rPr lang="bs-Latn-BA" sz="1000" b="0">
                <a:latin typeface="Arial" panose="020B0604020202020204" pitchFamily="34" charset="0"/>
                <a:cs typeface="Arial" panose="020B0604020202020204" pitchFamily="34" charset="0"/>
              </a:rPr>
              <a:t>-2022. </a:t>
            </a:r>
          </a:p>
        </c:rich>
      </c:tx>
      <c:spPr>
        <a:noFill/>
        <a:ln>
          <a:noFill/>
        </a:ln>
        <a:effectLst/>
      </c:spPr>
    </c:title>
    <c:plotArea>
      <c:layout/>
      <c:barChart>
        <c:barDir val="col"/>
        <c:grouping val="stacked"/>
        <c:ser>
          <c:idx val="0"/>
          <c:order val="0"/>
          <c:tx>
            <c:strRef>
              <c:f>Plate!$B$13</c:f>
              <c:strCache>
                <c:ptCount val="1"/>
                <c:pt idx="0">
                  <c:v>Bruto plate KM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numRef>
              <c:f>Plate!$C$12:$F$12</c:f>
              <c:numCache>
                <c:formatCode>General</c:formatCode>
                <c:ptCount val="4"/>
                <c:pt idx="0">
                  <c:v>2019</c:v>
                </c:pt>
                <c:pt idx="1">
                  <c:v>2020</c:v>
                </c:pt>
                <c:pt idx="2">
                  <c:v>2021</c:v>
                </c:pt>
                <c:pt idx="3">
                  <c:v>2022</c:v>
                </c:pt>
              </c:numCache>
            </c:numRef>
          </c:cat>
          <c:val>
            <c:numRef>
              <c:f>Plate!$C$13:$F$13</c:f>
              <c:numCache>
                <c:formatCode>_-* #,##0\ _K_M_-;\-* #,##0\ _K_M_-;_-* "-"??\ _K_M_-;_-@_-</c:formatCode>
                <c:ptCount val="4"/>
                <c:pt idx="0">
                  <c:v>1427</c:v>
                </c:pt>
                <c:pt idx="1">
                  <c:v>1472</c:v>
                </c:pt>
                <c:pt idx="2">
                  <c:v>1543</c:v>
                </c:pt>
                <c:pt idx="3">
                  <c:v>1724</c:v>
                </c:pt>
              </c:numCache>
            </c:numRef>
          </c:val>
          <c:extLst xmlns:c16r2="http://schemas.microsoft.com/office/drawing/2015/06/chart">
            <c:ext xmlns:c16="http://schemas.microsoft.com/office/drawing/2014/chart" uri="{C3380CC4-5D6E-409C-BE32-E72D297353CC}">
              <c16:uniqueId val="{00000000-7899-4024-A029-0F63C8757434}"/>
            </c:ext>
          </c:extLst>
        </c:ser>
        <c:ser>
          <c:idx val="1"/>
          <c:order val="1"/>
          <c:tx>
            <c:strRef>
              <c:f>Plate!$B$14</c:f>
              <c:strCache>
                <c:ptCount val="1"/>
                <c:pt idx="0">
                  <c:v>Neto plate KM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c:spPr>
          <c:cat>
            <c:numRef>
              <c:f>Plate!$C$12:$F$12</c:f>
              <c:numCache>
                <c:formatCode>General</c:formatCode>
                <c:ptCount val="4"/>
                <c:pt idx="0">
                  <c:v>2019</c:v>
                </c:pt>
                <c:pt idx="1">
                  <c:v>2020</c:v>
                </c:pt>
                <c:pt idx="2">
                  <c:v>2021</c:v>
                </c:pt>
                <c:pt idx="3">
                  <c:v>2022</c:v>
                </c:pt>
              </c:numCache>
            </c:numRef>
          </c:cat>
          <c:val>
            <c:numRef>
              <c:f>Plate!$C$14:$F$14</c:f>
              <c:numCache>
                <c:formatCode>_-* #,##0\ _K_M_-;\-* #,##0\ _K_M_-;_-* "-"??\ _K_M_-;_-@_-</c:formatCode>
                <c:ptCount val="4"/>
                <c:pt idx="0">
                  <c:v>928</c:v>
                </c:pt>
                <c:pt idx="1">
                  <c:v>956</c:v>
                </c:pt>
                <c:pt idx="2">
                  <c:v>996</c:v>
                </c:pt>
                <c:pt idx="3">
                  <c:v>1114</c:v>
                </c:pt>
              </c:numCache>
            </c:numRef>
          </c:val>
          <c:extLst xmlns:c16r2="http://schemas.microsoft.com/office/drawing/2015/06/chart">
            <c:ext xmlns:c16="http://schemas.microsoft.com/office/drawing/2014/chart" uri="{C3380CC4-5D6E-409C-BE32-E72D297353CC}">
              <c16:uniqueId val="{00000001-7899-4024-A029-0F63C8757434}"/>
            </c:ext>
          </c:extLst>
        </c:ser>
        <c:overlap val="100"/>
        <c:serLines>
          <c:spPr>
            <a:ln w="9525" cap="flat" cmpd="sng" algn="ctr">
              <a:solidFill>
                <a:schemeClr val="accent1">
                  <a:lumMod val="75000"/>
                </a:schemeClr>
              </a:solidFill>
              <a:round/>
            </a:ln>
            <a:effectLst/>
          </c:spPr>
        </c:serLines>
        <c:axId val="50429312"/>
        <c:axId val="50443392"/>
      </c:barChart>
      <c:catAx>
        <c:axId val="504293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50443392"/>
        <c:crosses val="autoZero"/>
        <c:auto val="1"/>
        <c:lblAlgn val="ctr"/>
        <c:lblOffset val="100"/>
      </c:catAx>
      <c:valAx>
        <c:axId val="5044339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 _K_M_-;\-* #,##0\ _K_M_-;_-* &quot;-&quot;??\ _K_M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crossAx val="50429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C78E-48D9-4E6C-BB82-EB8917FF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18</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Bosna i Hercegovina</vt:lpstr>
    </vt:vector>
  </TitlesOfParts>
  <Company/>
  <LinksUpToDate>false</LinksUpToDate>
  <CharactersWithSpaces>33002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Kurevic</dc:creator>
  <cp:lastModifiedBy>Amira</cp:lastModifiedBy>
  <cp:revision>305</cp:revision>
  <cp:lastPrinted>2022-07-05T10:16:00Z</cp:lastPrinted>
  <dcterms:created xsi:type="dcterms:W3CDTF">2021-06-21T06:55:00Z</dcterms:created>
  <dcterms:modified xsi:type="dcterms:W3CDTF">2023-06-09T09:11:00Z</dcterms:modified>
</cp:coreProperties>
</file>