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3F" w:rsidRPr="005C5D2A" w:rsidRDefault="005C5D2A" w:rsidP="005C5D2A">
      <w:pPr>
        <w:jc w:val="center"/>
        <w:rPr>
          <w:sz w:val="20"/>
          <w:szCs w:val="20"/>
          <w:lang w:val="hr-HR"/>
        </w:rPr>
      </w:pPr>
      <w:r w:rsidRPr="005C5D2A">
        <w:rPr>
          <w:sz w:val="20"/>
          <w:szCs w:val="20"/>
          <w:lang w:val="hr-HR"/>
        </w:rPr>
        <w:t>-623-</w:t>
      </w:r>
    </w:p>
    <w:p w:rsidR="005C5D2A" w:rsidRPr="005C5D2A" w:rsidRDefault="00B6443F" w:rsidP="005C5D2A">
      <w:pPr>
        <w:rPr>
          <w:b/>
          <w:sz w:val="8"/>
          <w:szCs w:val="8"/>
          <w:lang w:val="hr-HR"/>
        </w:rPr>
      </w:pPr>
      <w:r w:rsidRPr="00575863">
        <w:rPr>
          <w:lang w:val="hr-HR"/>
        </w:rPr>
        <w:tab/>
      </w:r>
      <w:r w:rsidRPr="00575863">
        <w:rPr>
          <w:lang w:val="hr-HR"/>
        </w:rPr>
        <w:tab/>
      </w:r>
      <w:r w:rsidRPr="00575863">
        <w:rPr>
          <w:lang w:val="hr-HR"/>
        </w:rPr>
        <w:tab/>
      </w:r>
      <w:r w:rsidRPr="00575863">
        <w:rPr>
          <w:lang w:val="hr-HR"/>
        </w:rPr>
        <w:tab/>
      </w:r>
      <w:r w:rsidRPr="00575863">
        <w:rPr>
          <w:lang w:val="hr-HR"/>
        </w:rPr>
        <w:tab/>
      </w:r>
      <w:r w:rsidRPr="00575863">
        <w:rPr>
          <w:lang w:val="hr-HR"/>
        </w:rPr>
        <w:tab/>
      </w:r>
    </w:p>
    <w:tbl>
      <w:tblPr>
        <w:tblW w:w="0" w:type="auto"/>
        <w:tblLook w:val="04A0"/>
      </w:tblPr>
      <w:tblGrid>
        <w:gridCol w:w="4441"/>
        <w:gridCol w:w="1427"/>
        <w:gridCol w:w="3377"/>
      </w:tblGrid>
      <w:tr w:rsidR="005C5D2A" w:rsidTr="00050D3C">
        <w:trPr>
          <w:trHeight w:val="1625"/>
        </w:trPr>
        <w:tc>
          <w:tcPr>
            <w:tcW w:w="4509" w:type="dxa"/>
            <w:hideMark/>
          </w:tcPr>
          <w:p w:rsidR="005C5D2A" w:rsidRDefault="005C5D2A" w:rsidP="00050D3C">
            <w:pPr>
              <w:rPr>
                <w:lang w:val="hr-HR" w:eastAsia="hr-HR"/>
              </w:rPr>
            </w:pPr>
            <w:r>
              <w:t>BOSNA I HERCEGOVINA</w:t>
            </w:r>
          </w:p>
          <w:p w:rsidR="005C5D2A" w:rsidRDefault="005C5D2A" w:rsidP="00050D3C">
            <w:r>
              <w:t>FEDERACIJA BOSNE I HERCEGOVINE</w:t>
            </w:r>
          </w:p>
          <w:p w:rsidR="005C5D2A" w:rsidRDefault="005C5D2A" w:rsidP="00050D3C">
            <w:pPr>
              <w:pStyle w:val="Heading1"/>
              <w:spacing w:before="0" w:after="0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ZENIČKO-DOBOJSKI KANTON</w:t>
            </w:r>
          </w:p>
          <w:p w:rsidR="005C5D2A" w:rsidRDefault="005C5D2A" w:rsidP="00050D3C">
            <w:pPr>
              <w:pStyle w:val="Head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  <w:lang w:val="hr-HR"/>
              </w:rPr>
              <w:t>Ć</w:t>
            </w:r>
            <w:r>
              <w:rPr>
                <w:sz w:val="24"/>
                <w:szCs w:val="24"/>
              </w:rPr>
              <w:t>INA</w:t>
            </w:r>
            <w:r>
              <w:rPr>
                <w:sz w:val="24"/>
                <w:szCs w:val="24"/>
                <w:lang w:val="hr-HR"/>
              </w:rPr>
              <w:t xml:space="preserve"> ZAVIDOVIĆI</w:t>
            </w:r>
          </w:p>
          <w:p w:rsidR="005C5D2A" w:rsidRDefault="005C5D2A" w:rsidP="00050D3C">
            <w:pPr>
              <w:pStyle w:val="Head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  <w:lang w:val="hr-HR"/>
              </w:rPr>
              <w:t>Ć</w:t>
            </w:r>
            <w:r>
              <w:rPr>
                <w:sz w:val="24"/>
                <w:szCs w:val="24"/>
              </w:rPr>
              <w:t>INSKI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  <w:lang w:val="hr-HR"/>
              </w:rPr>
              <w:t>Č</w:t>
            </w:r>
            <w:r>
              <w:rPr>
                <w:sz w:val="24"/>
                <w:szCs w:val="24"/>
              </w:rPr>
              <w:t>ELNIK</w:t>
            </w:r>
          </w:p>
          <w:p w:rsidR="005C5D2A" w:rsidRDefault="005C5D2A" w:rsidP="00050D3C">
            <w:pPr>
              <w:pStyle w:val="Header"/>
              <w:rPr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 xml:space="preserve">Broj: 02-14-2065/18 </w:t>
            </w:r>
          </w:p>
        </w:tc>
        <w:tc>
          <w:tcPr>
            <w:tcW w:w="1428" w:type="dxa"/>
            <w:hideMark/>
          </w:tcPr>
          <w:p w:rsidR="005C5D2A" w:rsidRDefault="005C5D2A" w:rsidP="00050D3C">
            <w:pPr>
              <w:rPr>
                <w:b/>
                <w:lang w:val="hr-HR" w:eastAsia="hr-HR"/>
              </w:rPr>
            </w:pPr>
            <w:r w:rsidRPr="0091670F">
              <w:rPr>
                <w:lang w:val="bs-Latn-BA" w:eastAsia="hr-HR"/>
              </w:rPr>
              <w:object w:dxaOrig="262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>
                  <v:imagedata r:id="rId8" o:title=""/>
                </v:shape>
                <o:OLEObject Type="Embed" ProgID="CorelDRAW.Graphic.13" ShapeID="_x0000_i1025" DrawAspect="Content" ObjectID="_1592715875" r:id="rId9"/>
              </w:object>
            </w:r>
          </w:p>
        </w:tc>
        <w:tc>
          <w:tcPr>
            <w:tcW w:w="3463" w:type="dxa"/>
          </w:tcPr>
          <w:p w:rsidR="005C5D2A" w:rsidRDefault="005C5D2A" w:rsidP="00050D3C">
            <w:pPr>
              <w:rPr>
                <w:b/>
                <w:lang w:val="hr-HR" w:eastAsia="hr-HR"/>
              </w:rPr>
            </w:pPr>
          </w:p>
          <w:p w:rsidR="005C5D2A" w:rsidRDefault="005C5D2A" w:rsidP="00050D3C">
            <w:pPr>
              <w:rPr>
                <w:b/>
              </w:rPr>
            </w:pPr>
          </w:p>
          <w:p w:rsidR="005C5D2A" w:rsidRDefault="005C5D2A" w:rsidP="00050D3C">
            <w:pPr>
              <w:rPr>
                <w:b/>
              </w:rPr>
            </w:pPr>
          </w:p>
          <w:p w:rsidR="005C5D2A" w:rsidRDefault="005C5D2A" w:rsidP="00050D3C">
            <w:pPr>
              <w:rPr>
                <w:b/>
              </w:rPr>
            </w:pPr>
          </w:p>
          <w:p w:rsidR="005C5D2A" w:rsidRDefault="005C5D2A" w:rsidP="00050D3C">
            <w:pPr>
              <w:pStyle w:val="Header"/>
              <w:rPr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5C5D2A" w:rsidRDefault="00CB5FDB" w:rsidP="005C5D2A">
      <w:pPr>
        <w:rPr>
          <w:sz w:val="22"/>
          <w:lang w:val="hr-HR" w:eastAsia="hr-HR"/>
        </w:rPr>
      </w:pPr>
      <w:r>
        <w:t xml:space="preserve"> </w:t>
      </w:r>
      <w:r w:rsidR="005C5D2A">
        <w:t>Dana: 28.06.2018. godine</w:t>
      </w:r>
    </w:p>
    <w:p w:rsidR="005C5D2A" w:rsidRPr="00575863" w:rsidRDefault="005C5D2A" w:rsidP="005C5D2A">
      <w:pPr>
        <w:tabs>
          <w:tab w:val="left" w:pos="930"/>
        </w:tabs>
        <w:rPr>
          <w:b/>
          <w:sz w:val="32"/>
          <w:szCs w:val="32"/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  <w:r w:rsidRPr="00575863">
        <w:rPr>
          <w:b/>
          <w:sz w:val="32"/>
          <w:szCs w:val="32"/>
          <w:lang w:val="hr-HR"/>
        </w:rPr>
        <w:t>DOKUMENT OKVIRNOG BUDŽETA</w:t>
      </w:r>
    </w:p>
    <w:p w:rsidR="00B6443F" w:rsidRPr="00575863" w:rsidRDefault="00BB0C70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OPĆINE ZAVIDOVIĆI</w:t>
      </w:r>
      <w:r w:rsidR="00B6443F" w:rsidRPr="00575863">
        <w:rPr>
          <w:b/>
          <w:sz w:val="32"/>
          <w:szCs w:val="32"/>
          <w:lang w:val="hr-HR"/>
        </w:rPr>
        <w:t xml:space="preserve"> ZA PERIOD</w:t>
      </w:r>
    </w:p>
    <w:p w:rsidR="00B6443F" w:rsidRPr="00575863" w:rsidRDefault="00772710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2019. -  2021</w:t>
      </w:r>
      <w:r w:rsidR="00D06DD9">
        <w:rPr>
          <w:b/>
          <w:sz w:val="32"/>
          <w:szCs w:val="32"/>
          <w:lang w:val="hr-HR"/>
        </w:rPr>
        <w:t>. GODINE</w:t>
      </w: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B6443F" w:rsidRPr="00575863" w:rsidRDefault="00B91464" w:rsidP="00B91464">
      <w:pPr>
        <w:tabs>
          <w:tab w:val="left" w:pos="294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ab/>
      </w:r>
    </w:p>
    <w:p w:rsidR="00B6443F" w:rsidRPr="00575863" w:rsidRDefault="00BB0C70" w:rsidP="00B91464">
      <w:pPr>
        <w:rPr>
          <w:b/>
          <w:lang w:val="hr-HR"/>
        </w:rPr>
      </w:pPr>
      <w:r>
        <w:rPr>
          <w:b/>
          <w:lang w:val="hr-HR"/>
        </w:rPr>
        <w:t>Zavidovići</w:t>
      </w:r>
      <w:r w:rsidR="00B6443F" w:rsidRPr="00575863">
        <w:rPr>
          <w:b/>
          <w:lang w:val="hr-HR"/>
        </w:rPr>
        <w:t xml:space="preserve">, </w:t>
      </w:r>
      <w:r w:rsidR="00772710">
        <w:rPr>
          <w:b/>
          <w:lang w:val="hr-HR"/>
        </w:rPr>
        <w:t>juni 2018</w:t>
      </w:r>
      <w:r w:rsidR="00B6443F" w:rsidRPr="00575863">
        <w:rPr>
          <w:b/>
          <w:lang w:val="hr-HR"/>
        </w:rPr>
        <w:t>. godine</w:t>
      </w:r>
    </w:p>
    <w:p w:rsidR="00B6443F" w:rsidRPr="00575863" w:rsidRDefault="00B6443F">
      <w:pPr>
        <w:jc w:val="center"/>
        <w:rPr>
          <w:b/>
          <w:sz w:val="32"/>
          <w:szCs w:val="32"/>
          <w:lang w:val="hr-HR"/>
        </w:rPr>
      </w:pPr>
    </w:p>
    <w:p w:rsidR="000A3E71" w:rsidRPr="00575863" w:rsidRDefault="000A3E71">
      <w:pPr>
        <w:rPr>
          <w:b/>
          <w:sz w:val="28"/>
          <w:szCs w:val="28"/>
          <w:lang w:val="hr-HR"/>
        </w:rPr>
      </w:pPr>
    </w:p>
    <w:p w:rsidR="000A3E71" w:rsidRPr="00575863" w:rsidRDefault="000A3E71">
      <w:pPr>
        <w:rPr>
          <w:b/>
          <w:sz w:val="28"/>
          <w:szCs w:val="28"/>
          <w:lang w:val="hr-HR"/>
        </w:rPr>
      </w:pPr>
    </w:p>
    <w:p w:rsidR="000A3E71" w:rsidRDefault="00E56350" w:rsidP="00E56350">
      <w:pPr>
        <w:jc w:val="center"/>
        <w:rPr>
          <w:sz w:val="20"/>
          <w:szCs w:val="20"/>
          <w:lang w:val="hr-HR"/>
        </w:rPr>
      </w:pPr>
      <w:r w:rsidRPr="00E56350">
        <w:rPr>
          <w:sz w:val="20"/>
          <w:szCs w:val="20"/>
          <w:lang w:val="hr-HR"/>
        </w:rPr>
        <w:lastRenderedPageBreak/>
        <w:t>-624-</w:t>
      </w:r>
    </w:p>
    <w:p w:rsidR="00E56350" w:rsidRPr="00E56350" w:rsidRDefault="00E56350" w:rsidP="00E56350">
      <w:pPr>
        <w:jc w:val="center"/>
        <w:rPr>
          <w:sz w:val="20"/>
          <w:szCs w:val="20"/>
          <w:lang w:val="hr-HR"/>
        </w:rPr>
      </w:pPr>
    </w:p>
    <w:p w:rsidR="00B6443F" w:rsidRPr="00335441" w:rsidRDefault="00B6443F">
      <w:pPr>
        <w:rPr>
          <w:b/>
          <w:lang w:val="hr-HR"/>
        </w:rPr>
      </w:pPr>
      <w:r w:rsidRPr="00335441">
        <w:rPr>
          <w:b/>
          <w:lang w:val="hr-HR"/>
        </w:rPr>
        <w:t>SADRŽAJ</w:t>
      </w:r>
    </w:p>
    <w:p w:rsidR="00B6443F" w:rsidRPr="00575863" w:rsidRDefault="00B6443F">
      <w:pPr>
        <w:rPr>
          <w:b/>
          <w:lang w:val="hr-HR"/>
        </w:rPr>
      </w:pPr>
    </w:p>
    <w:p w:rsidR="00B6443F" w:rsidRPr="00575863" w:rsidRDefault="00B6443F">
      <w:pPr>
        <w:rPr>
          <w:b/>
          <w:lang w:val="hr-HR"/>
        </w:rPr>
      </w:pPr>
    </w:p>
    <w:p w:rsidR="00B6443F" w:rsidRPr="00575863" w:rsidRDefault="00335441">
      <w:pPr>
        <w:rPr>
          <w:b/>
          <w:lang w:val="hr-HR"/>
        </w:rPr>
      </w:pPr>
      <w:r>
        <w:rPr>
          <w:b/>
          <w:lang w:val="hr-HR"/>
        </w:rPr>
        <w:t xml:space="preserve">DIO PRVI </w:t>
      </w:r>
      <w:r w:rsidR="00E56350">
        <w:rPr>
          <w:b/>
          <w:lang w:val="hr-HR"/>
        </w:rPr>
        <w:t>–</w:t>
      </w:r>
      <w:r>
        <w:rPr>
          <w:b/>
          <w:lang w:val="hr-HR"/>
        </w:rPr>
        <w:t xml:space="preserve"> </w:t>
      </w:r>
      <w:r w:rsidR="00F934C1">
        <w:rPr>
          <w:b/>
          <w:lang w:val="hr-HR"/>
        </w:rPr>
        <w:t xml:space="preserve">UVOD </w:t>
      </w:r>
    </w:p>
    <w:p w:rsidR="00F934C1" w:rsidRDefault="00F934C1">
      <w:pPr>
        <w:rPr>
          <w:b/>
          <w:lang w:val="hr-HR"/>
        </w:rPr>
      </w:pPr>
    </w:p>
    <w:p w:rsidR="00575863" w:rsidRDefault="00575863">
      <w:pPr>
        <w:rPr>
          <w:b/>
          <w:lang w:val="hr-HR"/>
        </w:rPr>
      </w:pPr>
    </w:p>
    <w:p w:rsidR="00F934C1" w:rsidRDefault="00BB0C70">
      <w:pPr>
        <w:rPr>
          <w:b/>
          <w:lang w:val="hr-HR"/>
        </w:rPr>
      </w:pPr>
      <w:r>
        <w:rPr>
          <w:b/>
          <w:lang w:val="hr-HR"/>
        </w:rPr>
        <w:t xml:space="preserve">DIO </w:t>
      </w:r>
      <w:r w:rsidR="00F934C1">
        <w:rPr>
          <w:b/>
          <w:lang w:val="hr-HR"/>
        </w:rPr>
        <w:t>DRUGI</w:t>
      </w:r>
      <w:r w:rsidR="00BC6078">
        <w:rPr>
          <w:b/>
          <w:lang w:val="hr-HR"/>
        </w:rPr>
        <w:t xml:space="preserve"> </w:t>
      </w:r>
      <w:r w:rsidR="00E56350">
        <w:rPr>
          <w:b/>
          <w:lang w:val="hr-HR"/>
        </w:rPr>
        <w:t>–</w:t>
      </w:r>
      <w:r w:rsidR="00BC6078">
        <w:rPr>
          <w:b/>
          <w:lang w:val="hr-HR"/>
        </w:rPr>
        <w:t xml:space="preserve"> </w:t>
      </w:r>
      <w:r w:rsidR="00F934C1">
        <w:rPr>
          <w:b/>
          <w:lang w:val="hr-HR"/>
        </w:rPr>
        <w:t>PRETPOSTAVKE I PROGNOZE</w:t>
      </w:r>
    </w:p>
    <w:p w:rsidR="00F934C1" w:rsidRPr="00575863" w:rsidRDefault="00F934C1">
      <w:pPr>
        <w:rPr>
          <w:b/>
          <w:lang w:val="hr-HR"/>
        </w:rPr>
      </w:pPr>
    </w:p>
    <w:p w:rsidR="00144CE9" w:rsidRPr="00913B69" w:rsidRDefault="00335441" w:rsidP="00851B22">
      <w:pPr>
        <w:ind w:firstLine="720"/>
        <w:rPr>
          <w:b/>
          <w:lang w:val="hr-HR"/>
        </w:rPr>
      </w:pPr>
      <w:r>
        <w:rPr>
          <w:b/>
          <w:lang w:val="hr-HR"/>
        </w:rPr>
        <w:t>POGLAVLJE I.</w:t>
      </w:r>
      <w:r w:rsidR="00FE6B75">
        <w:rPr>
          <w:b/>
          <w:lang w:val="hr-HR"/>
        </w:rPr>
        <w:t xml:space="preserve"> </w:t>
      </w:r>
      <w:r>
        <w:rPr>
          <w:b/>
          <w:lang w:val="hr-HR"/>
        </w:rPr>
        <w:t xml:space="preserve">SREDNJOROČNE MAKROEKONOMSKE </w:t>
      </w:r>
      <w:r w:rsidR="00144CE9" w:rsidRPr="00913B69">
        <w:rPr>
          <w:b/>
          <w:lang w:val="hr-HR"/>
        </w:rPr>
        <w:t xml:space="preserve">PRETPOSTAVKE I PROGNOZE </w:t>
      </w:r>
    </w:p>
    <w:p w:rsidR="00144CE9" w:rsidRPr="00A12636" w:rsidRDefault="00335441" w:rsidP="00144CE9">
      <w:pPr>
        <w:ind w:left="720" w:firstLine="720"/>
        <w:jc w:val="both"/>
        <w:rPr>
          <w:lang w:val="pl-PL"/>
        </w:rPr>
      </w:pPr>
      <w:r>
        <w:rPr>
          <w:lang w:val="pl-PL"/>
        </w:rPr>
        <w:t>Odjeljak A</w:t>
      </w:r>
      <w:r w:rsidR="00144CE9" w:rsidRPr="00A12636">
        <w:rPr>
          <w:lang w:val="pl-PL"/>
        </w:rPr>
        <w:t xml:space="preserve">. </w:t>
      </w:r>
      <w:r w:rsidR="00EF700F">
        <w:rPr>
          <w:iCs/>
          <w:lang w:val="bs-Latn-BA"/>
        </w:rPr>
        <w:t>Događaji iz proteklih godina</w:t>
      </w:r>
      <w:r w:rsidR="00144CE9" w:rsidRPr="00A12636">
        <w:rPr>
          <w:lang w:val="pl-PL"/>
        </w:rPr>
        <w:t xml:space="preserve"> </w:t>
      </w:r>
    </w:p>
    <w:p w:rsidR="00144CE9" w:rsidRPr="00A12636" w:rsidRDefault="00335441" w:rsidP="00144CE9">
      <w:pPr>
        <w:ind w:left="720" w:firstLine="720"/>
        <w:jc w:val="both"/>
        <w:rPr>
          <w:lang w:val="bs-Latn-BA"/>
        </w:rPr>
      </w:pPr>
      <w:r>
        <w:rPr>
          <w:lang w:val="bs-Latn-BA"/>
        </w:rPr>
        <w:t>Odjeljak B</w:t>
      </w:r>
      <w:r w:rsidR="00144CE9" w:rsidRPr="00A12636">
        <w:rPr>
          <w:lang w:val="bs-Latn-BA"/>
        </w:rPr>
        <w:t xml:space="preserve">. </w:t>
      </w:r>
      <w:r w:rsidR="005F3FDC">
        <w:rPr>
          <w:lang w:val="bs-Latn-BA"/>
        </w:rPr>
        <w:t>Trenutno stanje u Bosni i Hercegovini</w:t>
      </w:r>
    </w:p>
    <w:p w:rsidR="00144CE9" w:rsidRPr="00A12636" w:rsidRDefault="00144CE9" w:rsidP="00144CE9">
      <w:pPr>
        <w:ind w:left="1440"/>
        <w:jc w:val="both"/>
        <w:rPr>
          <w:bCs/>
          <w:color w:val="000000"/>
          <w:lang w:val="bs-Latn-BA"/>
        </w:rPr>
      </w:pPr>
      <w:r w:rsidRPr="00A12636">
        <w:rPr>
          <w:lang w:val="pl-PL"/>
        </w:rPr>
        <w:t>Odjelj</w:t>
      </w:r>
      <w:r w:rsidR="00590EDA">
        <w:rPr>
          <w:lang w:val="pl-PL"/>
        </w:rPr>
        <w:t>ak C</w:t>
      </w:r>
      <w:r w:rsidRPr="00A12636">
        <w:rPr>
          <w:lang w:val="pl-PL"/>
        </w:rPr>
        <w:t>.</w:t>
      </w:r>
      <w:r w:rsidR="0082654C" w:rsidRPr="00A12636">
        <w:rPr>
          <w:lang w:val="pl-PL"/>
        </w:rPr>
        <w:t xml:space="preserve"> Projekcije bru</w:t>
      </w:r>
      <w:r w:rsidR="009753D0">
        <w:rPr>
          <w:lang w:val="pl-PL"/>
        </w:rPr>
        <w:t>to društ</w:t>
      </w:r>
      <w:r w:rsidR="0082654C" w:rsidRPr="00A12636">
        <w:rPr>
          <w:lang w:val="pl-PL"/>
        </w:rPr>
        <w:t>v</w:t>
      </w:r>
      <w:r w:rsidR="009753D0">
        <w:rPr>
          <w:lang w:val="pl-PL"/>
        </w:rPr>
        <w:t>e</w:t>
      </w:r>
      <w:r w:rsidR="0082654C" w:rsidRPr="00A12636">
        <w:rPr>
          <w:lang w:val="pl-PL"/>
        </w:rPr>
        <w:t>nog proizvoda (BDP)</w:t>
      </w:r>
    </w:p>
    <w:p w:rsidR="00144CE9" w:rsidRPr="00A12636" w:rsidRDefault="00590EDA" w:rsidP="00144CE9">
      <w:pPr>
        <w:ind w:left="720" w:firstLine="720"/>
        <w:jc w:val="both"/>
        <w:rPr>
          <w:lang w:val="pl-PL"/>
        </w:rPr>
      </w:pPr>
      <w:r>
        <w:rPr>
          <w:lang w:val="pl-PL"/>
        </w:rPr>
        <w:t>Odjeljak D</w:t>
      </w:r>
      <w:r w:rsidR="00144CE9" w:rsidRPr="00A12636">
        <w:rPr>
          <w:lang w:val="pl-PL"/>
        </w:rPr>
        <w:t xml:space="preserve">. </w:t>
      </w:r>
      <w:r w:rsidR="0082654C" w:rsidRPr="00A12636">
        <w:rPr>
          <w:lang w:val="pl-PL"/>
        </w:rPr>
        <w:t>Realni sektor</w:t>
      </w:r>
    </w:p>
    <w:p w:rsidR="00144CE9" w:rsidRDefault="00144CE9" w:rsidP="00144CE9">
      <w:pPr>
        <w:jc w:val="both"/>
        <w:rPr>
          <w:b/>
          <w:lang w:val="bs-Latn-BA"/>
        </w:rPr>
      </w:pPr>
    </w:p>
    <w:p w:rsidR="00144CE9" w:rsidRDefault="00DB3EA7" w:rsidP="00144CE9">
      <w:pPr>
        <w:jc w:val="both"/>
        <w:rPr>
          <w:b/>
          <w:lang w:val="bs-Latn-BA"/>
        </w:rPr>
      </w:pPr>
      <w:r>
        <w:rPr>
          <w:b/>
          <w:lang w:val="bs-Latn-BA"/>
        </w:rPr>
        <w:t>DIO TREĆI</w:t>
      </w:r>
      <w:r w:rsidR="00BC6078">
        <w:rPr>
          <w:b/>
          <w:lang w:val="bs-Latn-BA"/>
        </w:rPr>
        <w:t xml:space="preserve"> </w:t>
      </w:r>
      <w:r w:rsidR="00E56350">
        <w:rPr>
          <w:b/>
          <w:lang w:val="bs-Latn-BA"/>
        </w:rPr>
        <w:t>–</w:t>
      </w:r>
      <w:r w:rsidR="00BC6078">
        <w:rPr>
          <w:b/>
          <w:lang w:val="bs-Latn-BA"/>
        </w:rPr>
        <w:t xml:space="preserve"> </w:t>
      </w:r>
      <w:r w:rsidR="00144CE9" w:rsidRPr="00425A55">
        <w:rPr>
          <w:b/>
          <w:lang w:val="bs-Latn-BA"/>
        </w:rPr>
        <w:t>FISKALNE PRETPOSTAVKE I PROGNOZE</w:t>
      </w:r>
    </w:p>
    <w:p w:rsidR="00D62D7E" w:rsidRDefault="00D62D7E" w:rsidP="00144CE9">
      <w:pPr>
        <w:jc w:val="both"/>
        <w:rPr>
          <w:b/>
          <w:lang w:val="bs-Latn-BA"/>
        </w:rPr>
      </w:pPr>
    </w:p>
    <w:p w:rsidR="00144CE9" w:rsidRDefault="00144CE9" w:rsidP="00144CE9">
      <w:pPr>
        <w:ind w:firstLine="720"/>
        <w:jc w:val="both"/>
        <w:rPr>
          <w:b/>
          <w:lang w:val="bs-Latn-BA"/>
        </w:rPr>
      </w:pPr>
      <w:r>
        <w:rPr>
          <w:b/>
          <w:lang w:val="bs-Latn-BA"/>
        </w:rPr>
        <w:t>POGLAVLJE I. FISKALNE PRETPOSTAVKE</w:t>
      </w:r>
    </w:p>
    <w:p w:rsidR="00144CE9" w:rsidRPr="00A12636" w:rsidRDefault="002F6350" w:rsidP="00144CE9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Odjeljak </w:t>
      </w:r>
      <w:r w:rsidR="00335441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144CE9" w:rsidRPr="00A12636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  <w:r w:rsidR="00144CE9" w:rsidRPr="00A12636">
        <w:rPr>
          <w:rFonts w:ascii="Times New Roman" w:hAnsi="Times New Roman"/>
          <w:bCs/>
          <w:sz w:val="24"/>
          <w:szCs w:val="24"/>
          <w:lang w:val="hr-HR"/>
        </w:rPr>
        <w:t>Projekcije prihoda od indirektnih poreza na nivou Bosne i Hercegovine</w:t>
      </w:r>
    </w:p>
    <w:p w:rsidR="00144CE9" w:rsidRPr="00A12636" w:rsidRDefault="00335441" w:rsidP="00144CE9">
      <w:pPr>
        <w:pStyle w:val="ListParagraph"/>
        <w:spacing w:after="0" w:line="240" w:lineRule="auto"/>
        <w:ind w:firstLine="72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Odjeljak B</w:t>
      </w:r>
      <w:r w:rsidR="00144CE9" w:rsidRPr="00A12636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  <w:r w:rsidR="00144CE9" w:rsidRPr="00A12636">
        <w:rPr>
          <w:rFonts w:ascii="Times New Roman" w:hAnsi="Times New Roman"/>
          <w:bCs/>
          <w:sz w:val="24"/>
          <w:szCs w:val="24"/>
          <w:lang w:val="hr-HR"/>
        </w:rPr>
        <w:t>Porez na dodanu vrijednost</w:t>
      </w:r>
    </w:p>
    <w:p w:rsidR="00144CE9" w:rsidRPr="00A12636" w:rsidRDefault="00335441" w:rsidP="00144CE9">
      <w:pPr>
        <w:pStyle w:val="ListParagraph"/>
        <w:spacing w:after="0" w:line="240" w:lineRule="auto"/>
        <w:ind w:firstLine="72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Odjeljak C</w:t>
      </w:r>
      <w:r w:rsidR="00144CE9" w:rsidRPr="00A12636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  <w:r w:rsidR="00144CE9" w:rsidRPr="00A12636">
        <w:rPr>
          <w:rFonts w:ascii="Times New Roman" w:hAnsi="Times New Roman"/>
          <w:bCs/>
          <w:sz w:val="24"/>
          <w:szCs w:val="24"/>
          <w:lang w:val="hr-HR"/>
        </w:rPr>
        <w:t>Direktni porezi</w:t>
      </w:r>
    </w:p>
    <w:p w:rsidR="00144CE9" w:rsidRPr="0082654C" w:rsidRDefault="00144CE9" w:rsidP="0082654C">
      <w:pPr>
        <w:jc w:val="both"/>
        <w:rPr>
          <w:b/>
          <w:lang w:val="pl-PL"/>
        </w:rPr>
      </w:pPr>
    </w:p>
    <w:p w:rsidR="00BC6078" w:rsidRDefault="00BC6078" w:rsidP="00BC6078">
      <w:pPr>
        <w:jc w:val="both"/>
        <w:rPr>
          <w:b/>
          <w:lang w:val="hr-BA"/>
        </w:rPr>
      </w:pPr>
      <w:r>
        <w:rPr>
          <w:b/>
          <w:lang w:val="hr-BA"/>
        </w:rPr>
        <w:t xml:space="preserve">DIO </w:t>
      </w:r>
      <w:r w:rsidR="00DB3EA7">
        <w:rPr>
          <w:b/>
          <w:lang w:val="hr-BA"/>
        </w:rPr>
        <w:t>ČETVRTI</w:t>
      </w:r>
      <w:r>
        <w:rPr>
          <w:b/>
          <w:lang w:val="hr-BA"/>
        </w:rPr>
        <w:t xml:space="preserve"> </w:t>
      </w:r>
      <w:r w:rsidR="00E56350">
        <w:rPr>
          <w:b/>
          <w:lang w:val="hr-BA"/>
        </w:rPr>
        <w:t>–</w:t>
      </w:r>
      <w:r>
        <w:rPr>
          <w:b/>
          <w:lang w:val="hr-BA"/>
        </w:rPr>
        <w:t xml:space="preserve"> STRUKTURA PRIHODA I POTROŠNJE BUDŽETA </w:t>
      </w:r>
      <w:r w:rsidR="00BB0C70">
        <w:rPr>
          <w:b/>
          <w:lang w:val="hr-BA"/>
        </w:rPr>
        <w:t>OPĆINE ZAVIDOVIĆI</w:t>
      </w:r>
    </w:p>
    <w:p w:rsidR="00BC6078" w:rsidRDefault="00BC6078" w:rsidP="00BC6078">
      <w:pPr>
        <w:ind w:firstLine="720"/>
        <w:jc w:val="both"/>
        <w:rPr>
          <w:b/>
          <w:lang w:val="hr-BA"/>
        </w:rPr>
      </w:pPr>
    </w:p>
    <w:p w:rsidR="00BC6078" w:rsidRPr="00575863" w:rsidRDefault="00BC6078" w:rsidP="00BC6078">
      <w:pPr>
        <w:ind w:firstLine="720"/>
        <w:jc w:val="both"/>
        <w:rPr>
          <w:b/>
          <w:lang w:val="hr-BA"/>
        </w:rPr>
      </w:pPr>
      <w:r>
        <w:rPr>
          <w:b/>
          <w:lang w:val="hr-BA"/>
        </w:rPr>
        <w:t xml:space="preserve">POGLAVLJE I. PRIHODI BUDŽETA </w:t>
      </w:r>
      <w:r w:rsidR="00BB0C70">
        <w:rPr>
          <w:b/>
          <w:lang w:val="hr-BA"/>
        </w:rPr>
        <w:t>OPĆINE ZAVIDOVIĆI</w:t>
      </w:r>
    </w:p>
    <w:p w:rsidR="00BC6078" w:rsidRPr="00A12636" w:rsidRDefault="00BC6078" w:rsidP="00BC6078">
      <w:pPr>
        <w:pStyle w:val="Heading2-BFP"/>
        <w:tabs>
          <w:tab w:val="left" w:pos="720"/>
        </w:tabs>
        <w:spacing w:before="0" w:after="0"/>
        <w:outlineLvl w:val="0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5441">
        <w:rPr>
          <w:rFonts w:ascii="Times New Roman" w:hAnsi="Times New Roman" w:cs="Times New Roman"/>
          <w:b w:val="0"/>
          <w:spacing w:val="-2"/>
          <w:sz w:val="24"/>
          <w:szCs w:val="24"/>
        </w:rPr>
        <w:t>Odjeljak A</w:t>
      </w:r>
      <w:r w:rsidRPr="00A12636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. Indirektni porezi </w:t>
      </w:r>
    </w:p>
    <w:p w:rsidR="0001718D" w:rsidRPr="00BB0C70" w:rsidRDefault="0082654C" w:rsidP="00BC6078">
      <w:pPr>
        <w:pStyle w:val="Heading2-BFP"/>
        <w:tabs>
          <w:tab w:val="left" w:pos="720"/>
        </w:tabs>
        <w:spacing w:before="0" w:after="0"/>
        <w:outlineLvl w:val="0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A12636">
        <w:rPr>
          <w:b w:val="0"/>
          <w:lang w:val="pl-PL"/>
        </w:rPr>
        <w:tab/>
      </w:r>
      <w:r w:rsidRPr="00A12636">
        <w:rPr>
          <w:b w:val="0"/>
          <w:lang w:val="pl-PL"/>
        </w:rPr>
        <w:tab/>
      </w:r>
      <w:r w:rsidR="00BB0C70">
        <w:rPr>
          <w:rFonts w:ascii="Times New Roman" w:hAnsi="Times New Roman" w:cs="Times New Roman"/>
          <w:b w:val="0"/>
          <w:sz w:val="24"/>
          <w:szCs w:val="24"/>
          <w:lang w:val="pl-PL"/>
        </w:rPr>
        <w:t>Odjeljak B</w:t>
      </w:r>
      <w:r w:rsidR="00BB0C70" w:rsidRPr="00BB0C70">
        <w:rPr>
          <w:rFonts w:ascii="Times New Roman" w:hAnsi="Times New Roman" w:cs="Times New Roman"/>
          <w:b w:val="0"/>
          <w:sz w:val="24"/>
          <w:szCs w:val="24"/>
          <w:lang w:val="pl-PL"/>
        </w:rPr>
        <w:t>. Porez na dohodak</w:t>
      </w:r>
    </w:p>
    <w:p w:rsidR="0001718D" w:rsidRPr="00A12636" w:rsidRDefault="0001718D" w:rsidP="0001718D">
      <w:pPr>
        <w:jc w:val="both"/>
        <w:rPr>
          <w:lang w:val="pl-PL"/>
        </w:rPr>
      </w:pPr>
      <w:r w:rsidRPr="00A12636">
        <w:rPr>
          <w:bCs/>
          <w:lang w:val="hr-BA"/>
        </w:rPr>
        <w:tab/>
      </w:r>
      <w:r w:rsidRPr="00A12636">
        <w:rPr>
          <w:bCs/>
          <w:lang w:val="hr-BA"/>
        </w:rPr>
        <w:tab/>
      </w:r>
    </w:p>
    <w:p w:rsidR="0082654C" w:rsidRDefault="0082654C" w:rsidP="0082654C">
      <w:pPr>
        <w:pStyle w:val="Heading1"/>
        <w:spacing w:before="0" w:after="0"/>
        <w:ind w:left="720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82654C" w:rsidRPr="00575863" w:rsidRDefault="0082654C" w:rsidP="0096450B">
      <w:pPr>
        <w:pStyle w:val="Heading1"/>
        <w:spacing w:before="0" w:after="0"/>
        <w:ind w:left="720"/>
        <w:jc w:val="both"/>
        <w:rPr>
          <w:rFonts w:ascii="Times New Roman" w:hAnsi="Times New Roman" w:cs="Times New Roman"/>
          <w:bCs w:val="0"/>
          <w:sz w:val="24"/>
          <w:szCs w:val="24"/>
          <w:lang w:val="hr-BA"/>
        </w:rPr>
      </w:pPr>
      <w:r>
        <w:rPr>
          <w:rFonts w:ascii="Times New Roman" w:hAnsi="Times New Roman" w:cs="Times New Roman"/>
          <w:bCs w:val="0"/>
          <w:sz w:val="24"/>
          <w:szCs w:val="24"/>
          <w:lang w:val="hr-BA"/>
        </w:rPr>
        <w:t xml:space="preserve">POGLAVLJE II. POTROŠNJA U BUDŽETU </w:t>
      </w:r>
      <w:r w:rsidR="00BB0C70">
        <w:rPr>
          <w:rFonts w:ascii="Times New Roman" w:hAnsi="Times New Roman" w:cs="Times New Roman"/>
          <w:bCs w:val="0"/>
          <w:sz w:val="24"/>
          <w:szCs w:val="24"/>
          <w:lang w:val="hr-BA"/>
        </w:rPr>
        <w:t>OPĆINE ZAVIDOVIĆI</w:t>
      </w:r>
    </w:p>
    <w:p w:rsidR="0082654C" w:rsidRPr="00A12636" w:rsidRDefault="0082654C" w:rsidP="0082654C">
      <w:pPr>
        <w:jc w:val="both"/>
        <w:rPr>
          <w:lang w:val="hr-HR"/>
        </w:rPr>
      </w:pPr>
      <w:r>
        <w:rPr>
          <w:b/>
          <w:bCs/>
          <w:lang w:val="hr-BA"/>
        </w:rPr>
        <w:tab/>
      </w:r>
      <w:r>
        <w:rPr>
          <w:b/>
          <w:bCs/>
          <w:lang w:val="hr-BA"/>
        </w:rPr>
        <w:tab/>
      </w:r>
      <w:r w:rsidRPr="00A12636">
        <w:rPr>
          <w:lang w:val="hr-HR"/>
        </w:rPr>
        <w:t xml:space="preserve">Odjeljak </w:t>
      </w:r>
      <w:r w:rsidR="00335441">
        <w:rPr>
          <w:lang w:val="hr-HR"/>
        </w:rPr>
        <w:t>A</w:t>
      </w:r>
      <w:r w:rsidRPr="00A12636">
        <w:rPr>
          <w:lang w:val="hr-HR"/>
        </w:rPr>
        <w:t>. Plaće i naknade</w:t>
      </w:r>
    </w:p>
    <w:p w:rsidR="0082654C" w:rsidRPr="00A12636" w:rsidRDefault="0082654C" w:rsidP="0082654C">
      <w:pPr>
        <w:ind w:left="720" w:firstLine="720"/>
        <w:jc w:val="both"/>
        <w:rPr>
          <w:lang w:val="hr-BA"/>
        </w:rPr>
      </w:pPr>
      <w:r w:rsidRPr="00A12636">
        <w:rPr>
          <w:lang w:val="hr-BA"/>
        </w:rPr>
        <w:t xml:space="preserve">Odjeljak </w:t>
      </w:r>
      <w:r w:rsidR="00335441">
        <w:rPr>
          <w:lang w:val="hr-BA"/>
        </w:rPr>
        <w:t>B</w:t>
      </w:r>
      <w:r w:rsidRPr="00A12636">
        <w:rPr>
          <w:lang w:val="hr-BA"/>
        </w:rPr>
        <w:t>. Materijalni troškovi</w:t>
      </w:r>
    </w:p>
    <w:p w:rsidR="0082654C" w:rsidRPr="00A12636" w:rsidRDefault="0082654C" w:rsidP="0082654C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hr-BA"/>
        </w:rPr>
      </w:pPr>
      <w:r w:rsidRPr="00A12636">
        <w:rPr>
          <w:rFonts w:ascii="Times New Roman" w:hAnsi="Times New Roman"/>
          <w:b w:val="0"/>
          <w:bCs w:val="0"/>
          <w:sz w:val="24"/>
          <w:szCs w:val="24"/>
          <w:lang w:val="hr-BA"/>
        </w:rPr>
        <w:tab/>
      </w:r>
      <w:r w:rsidRPr="00A12636">
        <w:rPr>
          <w:rFonts w:ascii="Times New Roman" w:hAnsi="Times New Roman"/>
          <w:b w:val="0"/>
          <w:bCs w:val="0"/>
          <w:sz w:val="24"/>
          <w:szCs w:val="24"/>
          <w:lang w:val="hr-BA"/>
        </w:rPr>
        <w:tab/>
      </w:r>
      <w:r w:rsidR="00335441">
        <w:rPr>
          <w:rFonts w:ascii="Times New Roman" w:hAnsi="Times New Roman" w:cs="Times New Roman"/>
          <w:b w:val="0"/>
          <w:i w:val="0"/>
          <w:sz w:val="24"/>
          <w:szCs w:val="24"/>
          <w:lang w:val="hr-BA"/>
        </w:rPr>
        <w:t>Odjeljak C</w:t>
      </w:r>
      <w:r w:rsidRPr="00A12636">
        <w:rPr>
          <w:rFonts w:ascii="Times New Roman" w:hAnsi="Times New Roman" w:cs="Times New Roman"/>
          <w:b w:val="0"/>
          <w:i w:val="0"/>
          <w:sz w:val="24"/>
          <w:szCs w:val="24"/>
          <w:lang w:val="hr-BA"/>
        </w:rPr>
        <w:t>. Tekući transferi</w:t>
      </w:r>
    </w:p>
    <w:p w:rsidR="0082654C" w:rsidRPr="00A12636" w:rsidRDefault="00335441" w:rsidP="0082654C">
      <w:pPr>
        <w:pStyle w:val="Heading2"/>
        <w:spacing w:before="0" w:after="0"/>
        <w:ind w:left="720" w:firstLine="720"/>
        <w:rPr>
          <w:rFonts w:ascii="Times New Roman" w:hAnsi="Times New Roman" w:cs="Times New Roman"/>
          <w:b w:val="0"/>
          <w:i w:val="0"/>
          <w:sz w:val="24"/>
          <w:szCs w:val="24"/>
          <w:lang w:val="hr-HR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hr-BA"/>
        </w:rPr>
        <w:t>Odjeljak D</w:t>
      </w:r>
      <w:r w:rsidR="0082654C" w:rsidRPr="00A12636">
        <w:rPr>
          <w:rFonts w:ascii="Times New Roman" w:hAnsi="Times New Roman" w:cs="Times New Roman"/>
          <w:b w:val="0"/>
          <w:i w:val="0"/>
          <w:sz w:val="24"/>
          <w:szCs w:val="24"/>
          <w:lang w:val="hr-BA"/>
        </w:rPr>
        <w:t xml:space="preserve">. Kapitalna potrošnja </w:t>
      </w:r>
      <w:r w:rsidR="00BB0C70">
        <w:rPr>
          <w:rFonts w:ascii="Times New Roman" w:hAnsi="Times New Roman" w:cs="Times New Roman"/>
          <w:b w:val="0"/>
          <w:i w:val="0"/>
          <w:sz w:val="24"/>
          <w:szCs w:val="24"/>
          <w:lang w:val="hr-BA"/>
        </w:rPr>
        <w:t>općine Zavidovići</w:t>
      </w:r>
      <w:r w:rsidR="0082654C" w:rsidRPr="00A12636">
        <w:rPr>
          <w:rFonts w:ascii="Times New Roman" w:hAnsi="Times New Roman" w:cs="Times New Roman"/>
          <w:b w:val="0"/>
          <w:i w:val="0"/>
          <w:sz w:val="24"/>
          <w:szCs w:val="24"/>
          <w:lang w:val="hr-BA"/>
        </w:rPr>
        <w:t xml:space="preserve"> </w:t>
      </w:r>
    </w:p>
    <w:p w:rsidR="00575863" w:rsidRPr="00575863" w:rsidRDefault="00575863" w:rsidP="0082654C">
      <w:pPr>
        <w:rPr>
          <w:lang w:val="hr-HR"/>
        </w:rPr>
      </w:pPr>
    </w:p>
    <w:p w:rsidR="00EB5523" w:rsidRDefault="00EB5523" w:rsidP="0096450B">
      <w:pPr>
        <w:pStyle w:val="Heading1"/>
        <w:spacing w:before="0" w:after="0"/>
        <w:ind w:left="720"/>
        <w:jc w:val="both"/>
        <w:rPr>
          <w:rFonts w:ascii="Times New Roman" w:hAnsi="Times New Roman" w:cs="Times New Roman"/>
          <w:bCs w:val="0"/>
          <w:sz w:val="24"/>
          <w:szCs w:val="24"/>
          <w:lang w:val="hr-BA"/>
        </w:rPr>
      </w:pPr>
      <w:r>
        <w:rPr>
          <w:rFonts w:ascii="Times New Roman" w:hAnsi="Times New Roman" w:cs="Times New Roman"/>
          <w:bCs w:val="0"/>
          <w:sz w:val="24"/>
          <w:szCs w:val="24"/>
          <w:lang w:val="hr-BA"/>
        </w:rPr>
        <w:t>POGLAVLJE III. OKVIRNE TABELE PRIHODA I RASHODA BUDŽETA OPĆIN</w:t>
      </w:r>
      <w:r w:rsidR="00BB0C70">
        <w:rPr>
          <w:rFonts w:ascii="Times New Roman" w:hAnsi="Times New Roman" w:cs="Times New Roman"/>
          <w:bCs w:val="0"/>
          <w:sz w:val="24"/>
          <w:szCs w:val="24"/>
          <w:lang w:val="hr-BA"/>
        </w:rPr>
        <w:t>E ZAVIDOVIĆI</w:t>
      </w:r>
    </w:p>
    <w:p w:rsidR="00B6443F" w:rsidRPr="00575863" w:rsidRDefault="00B6443F" w:rsidP="0089333A">
      <w:pPr>
        <w:ind w:left="1440"/>
        <w:jc w:val="both"/>
        <w:rPr>
          <w:lang w:val="hr-HR"/>
        </w:rPr>
      </w:pPr>
    </w:p>
    <w:p w:rsidR="00B6443F" w:rsidRPr="00575863" w:rsidRDefault="00B6443F">
      <w:pPr>
        <w:rPr>
          <w:b/>
          <w:lang w:val="hr-HR"/>
        </w:rPr>
      </w:pPr>
    </w:p>
    <w:p w:rsidR="00B6443F" w:rsidRPr="00575863" w:rsidRDefault="00B6443F">
      <w:pPr>
        <w:rPr>
          <w:lang w:val="hr-HR"/>
        </w:rPr>
      </w:pPr>
    </w:p>
    <w:p w:rsidR="00B6443F" w:rsidRPr="00575863" w:rsidRDefault="00B6443F">
      <w:pPr>
        <w:rPr>
          <w:b/>
          <w:lang w:val="hr-HR"/>
        </w:rPr>
      </w:pPr>
    </w:p>
    <w:p w:rsidR="00B6443F" w:rsidRDefault="00B6443F">
      <w:pPr>
        <w:rPr>
          <w:b/>
          <w:lang w:val="hr-HR"/>
        </w:rPr>
      </w:pPr>
    </w:p>
    <w:p w:rsidR="00575863" w:rsidRPr="00575863" w:rsidRDefault="00575863">
      <w:pPr>
        <w:rPr>
          <w:b/>
          <w:lang w:val="hr-HR"/>
        </w:rPr>
      </w:pPr>
    </w:p>
    <w:p w:rsidR="00590EDA" w:rsidRDefault="00E56350" w:rsidP="00E56350">
      <w:pPr>
        <w:pStyle w:val="Heading7"/>
        <w:jc w:val="center"/>
        <w:rPr>
          <w:rFonts w:ascii="Times New Roman" w:hAnsi="Times New Roman" w:cs="Times New Roman"/>
        </w:rPr>
      </w:pPr>
      <w:r w:rsidRPr="00E56350">
        <w:rPr>
          <w:rFonts w:ascii="Times New Roman" w:hAnsi="Times New Roman" w:cs="Times New Roman"/>
          <w:b w:val="0"/>
          <w:sz w:val="20"/>
          <w:szCs w:val="20"/>
        </w:rPr>
        <w:lastRenderedPageBreak/>
        <w:t>-625-</w:t>
      </w:r>
    </w:p>
    <w:p w:rsidR="00590EDA" w:rsidRDefault="00590EDA">
      <w:pPr>
        <w:pStyle w:val="Heading7"/>
        <w:rPr>
          <w:rFonts w:ascii="Times New Roman" w:hAnsi="Times New Roman" w:cs="Times New Roman"/>
        </w:rPr>
      </w:pPr>
    </w:p>
    <w:p w:rsidR="00B6443F" w:rsidRPr="00575863" w:rsidRDefault="00A7758F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 PRVI - UVOD</w:t>
      </w:r>
    </w:p>
    <w:p w:rsidR="00B6443F" w:rsidRPr="00575863" w:rsidRDefault="00B6443F" w:rsidP="00820596">
      <w:pPr>
        <w:jc w:val="both"/>
        <w:rPr>
          <w:lang w:val="hr-HR"/>
        </w:rPr>
      </w:pPr>
    </w:p>
    <w:p w:rsidR="002F6350" w:rsidRDefault="00B6443F">
      <w:pPr>
        <w:ind w:firstLine="720"/>
        <w:jc w:val="both"/>
        <w:rPr>
          <w:lang w:val="hr-HR"/>
        </w:rPr>
      </w:pPr>
      <w:r w:rsidRPr="00575863">
        <w:rPr>
          <w:lang w:val="hr-HR"/>
        </w:rPr>
        <w:t>U skladu sa  Zakonom o budžetima u Fe</w:t>
      </w:r>
      <w:r w:rsidR="00BD7988" w:rsidRPr="00575863">
        <w:rPr>
          <w:lang w:val="hr-HR"/>
        </w:rPr>
        <w:t>deraciji Bosne i Hercegovine  („Službene novine FBiH“</w:t>
      </w:r>
      <w:r w:rsidRPr="00575863">
        <w:rPr>
          <w:lang w:val="hr-HR"/>
        </w:rPr>
        <w:t xml:space="preserve"> broj</w:t>
      </w:r>
      <w:r w:rsidR="00FC203A">
        <w:rPr>
          <w:lang w:val="hr-HR"/>
        </w:rPr>
        <w:t>:</w:t>
      </w:r>
      <w:r w:rsidRPr="00575863">
        <w:rPr>
          <w:lang w:val="hr-HR"/>
        </w:rPr>
        <w:t xml:space="preserve"> </w:t>
      </w:r>
      <w:r w:rsidR="00B3618B">
        <w:t>102/13, 9/14, 13/14, 8/15, 91/15, 102/15 i 104/16</w:t>
      </w:r>
      <w:r w:rsidRPr="00575863">
        <w:rPr>
          <w:lang w:val="hr-HR"/>
        </w:rPr>
        <w:t>), pripremljen</w:t>
      </w:r>
      <w:r w:rsidR="000A3E71" w:rsidRPr="00575863">
        <w:rPr>
          <w:lang w:val="hr-HR"/>
        </w:rPr>
        <w:t xml:space="preserve"> je Dokument okvirnog budžeta (DOB</w:t>
      </w:r>
      <w:r w:rsidRPr="00575863">
        <w:rPr>
          <w:lang w:val="hr-HR"/>
        </w:rPr>
        <w:t>) koji je dio pristupa Srednjor</w:t>
      </w:r>
      <w:r w:rsidR="00BD7988" w:rsidRPr="00575863">
        <w:rPr>
          <w:lang w:val="hr-HR"/>
        </w:rPr>
        <w:t>očnog okvira rashod</w:t>
      </w:r>
      <w:r w:rsidR="00772710">
        <w:rPr>
          <w:lang w:val="hr-HR"/>
        </w:rPr>
        <w:t>a za 2019</w:t>
      </w:r>
      <w:r w:rsidR="00CE4F02">
        <w:rPr>
          <w:lang w:val="hr-HR"/>
        </w:rPr>
        <w:t>.-</w:t>
      </w:r>
      <w:r w:rsidR="00772710">
        <w:rPr>
          <w:lang w:val="hr-HR"/>
        </w:rPr>
        <w:t>2021</w:t>
      </w:r>
      <w:r w:rsidR="00D06DD9">
        <w:rPr>
          <w:lang w:val="hr-HR"/>
        </w:rPr>
        <w:t>. godine</w:t>
      </w:r>
      <w:r w:rsidRPr="00575863">
        <w:rPr>
          <w:lang w:val="hr-HR"/>
        </w:rPr>
        <w:t>. Ovaj dokument je izlazni rezultat srednjoročnog procesa planiranja i izrade budžeta po metodolog</w:t>
      </w:r>
      <w:r w:rsidR="00BD7988" w:rsidRPr="00575863">
        <w:rPr>
          <w:lang w:val="hr-HR"/>
        </w:rPr>
        <w:t xml:space="preserve">iji </w:t>
      </w:r>
      <w:r w:rsidR="00575863">
        <w:rPr>
          <w:lang w:val="hr-HR"/>
        </w:rPr>
        <w:t>„</w:t>
      </w:r>
      <w:r w:rsidRPr="00575863">
        <w:rPr>
          <w:lang w:val="hr-HR"/>
        </w:rPr>
        <w:t>10 koraka“, koja je zasnovana na naj</w:t>
      </w:r>
      <w:r w:rsidR="00920082">
        <w:rPr>
          <w:lang w:val="hr-HR"/>
        </w:rPr>
        <w:t>boljim m</w:t>
      </w:r>
      <w:r w:rsidR="002F6350">
        <w:rPr>
          <w:lang w:val="hr-HR"/>
        </w:rPr>
        <w:t>eđunarodnim iskustvima.</w:t>
      </w:r>
    </w:p>
    <w:p w:rsidR="00B6443F" w:rsidRPr="00575863" w:rsidRDefault="00B6443F">
      <w:pPr>
        <w:ind w:firstLine="720"/>
        <w:jc w:val="both"/>
        <w:rPr>
          <w:lang w:val="hr-HR"/>
        </w:rPr>
      </w:pPr>
      <w:r w:rsidRPr="00575863">
        <w:rPr>
          <w:lang w:val="hr-HR"/>
        </w:rPr>
        <w:t>Izrada Dokumenta okvirnog budžeta za trogodišn</w:t>
      </w:r>
      <w:r w:rsidR="006F13B4">
        <w:rPr>
          <w:lang w:val="hr-HR"/>
        </w:rPr>
        <w:t>j</w:t>
      </w:r>
      <w:r w:rsidRPr="00575863">
        <w:rPr>
          <w:lang w:val="hr-HR"/>
        </w:rPr>
        <w:t>i period postala je uobičajena praksa na svim nivoima vlasti u Bosni i Hercegovini. S obzirom da se temelji na prioritetima i politikama Vlade, Dokument okvirnog budžeta je koristan instrument u stvaranju kvalitetnijeg strateškog osnova za raspodjelu budžetskih sredstava.</w:t>
      </w:r>
    </w:p>
    <w:p w:rsidR="00B6443F" w:rsidRPr="00575863" w:rsidRDefault="00B6443F">
      <w:pPr>
        <w:ind w:firstLine="720"/>
        <w:jc w:val="both"/>
        <w:rPr>
          <w:lang w:val="hr-HR"/>
        </w:rPr>
      </w:pPr>
      <w:r w:rsidRPr="003B22FE">
        <w:rPr>
          <w:lang w:val="pl-PL"/>
        </w:rPr>
        <w:t>Dokument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okvirnog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bud</w:t>
      </w:r>
      <w:r w:rsidRPr="00575863">
        <w:rPr>
          <w:lang w:val="hr-HR"/>
        </w:rPr>
        <w:t>ž</w:t>
      </w:r>
      <w:r w:rsidRPr="003B22FE">
        <w:rPr>
          <w:lang w:val="pl-PL"/>
        </w:rPr>
        <w:t>eta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period</w:t>
      </w:r>
      <w:r w:rsidR="00772710">
        <w:rPr>
          <w:lang w:val="hr-HR"/>
        </w:rPr>
        <w:t xml:space="preserve"> 2019</w:t>
      </w:r>
      <w:r w:rsidR="00BD7988" w:rsidRPr="00575863">
        <w:rPr>
          <w:lang w:val="hr-HR"/>
        </w:rPr>
        <w:t xml:space="preserve">. - </w:t>
      </w:r>
      <w:r w:rsidR="00772710">
        <w:rPr>
          <w:lang w:val="hr-HR"/>
        </w:rPr>
        <w:t>2021</w:t>
      </w:r>
      <w:r w:rsidRPr="00575863">
        <w:rPr>
          <w:lang w:val="hr-HR"/>
        </w:rPr>
        <w:t xml:space="preserve">. </w:t>
      </w:r>
      <w:r w:rsidR="00D06DD9">
        <w:rPr>
          <w:lang w:val="pl-PL"/>
        </w:rPr>
        <w:t>godine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izla</w:t>
      </w:r>
      <w:r w:rsidRPr="00575863">
        <w:rPr>
          <w:lang w:val="hr-HR"/>
        </w:rPr>
        <w:t>ž</w:t>
      </w:r>
      <w:r w:rsidRPr="003B22FE">
        <w:rPr>
          <w:lang w:val="pl-PL"/>
        </w:rPr>
        <w:t>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fiskalnu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strategiju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i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bud</w:t>
      </w:r>
      <w:r w:rsidRPr="00575863">
        <w:rPr>
          <w:lang w:val="hr-HR"/>
        </w:rPr>
        <w:t>ž</w:t>
      </w:r>
      <w:r w:rsidRPr="003B22FE">
        <w:rPr>
          <w:lang w:val="pl-PL"/>
        </w:rPr>
        <w:t>etske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planove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slijede</w:t>
      </w:r>
      <w:r w:rsidRPr="00575863">
        <w:rPr>
          <w:lang w:val="hr-HR"/>
        </w:rPr>
        <w:t>ć</w:t>
      </w:r>
      <w:r w:rsidRPr="003B22FE">
        <w:rPr>
          <w:lang w:val="pl-PL"/>
        </w:rPr>
        <w:t>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tri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godine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i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ima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cilj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da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razvije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bolju</w:t>
      </w:r>
      <w:r w:rsidRPr="00575863">
        <w:rPr>
          <w:sz w:val="20"/>
          <w:lang w:val="hr-HR"/>
        </w:rPr>
        <w:t xml:space="preserve"> </w:t>
      </w:r>
      <w:r w:rsidRPr="003B22FE">
        <w:rPr>
          <w:lang w:val="pl-PL"/>
        </w:rPr>
        <w:t>strate</w:t>
      </w:r>
      <w:r w:rsidRPr="00575863">
        <w:rPr>
          <w:lang w:val="hr-HR"/>
        </w:rPr>
        <w:t>š</w:t>
      </w:r>
      <w:r w:rsidRPr="003B22FE">
        <w:rPr>
          <w:lang w:val="pl-PL"/>
        </w:rPr>
        <w:t>ku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osnovu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pripremu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bud</w:t>
      </w:r>
      <w:r w:rsidRPr="00575863">
        <w:rPr>
          <w:lang w:val="hr-HR"/>
        </w:rPr>
        <w:t>ž</w:t>
      </w:r>
      <w:r w:rsidRPr="003B22FE">
        <w:rPr>
          <w:lang w:val="pl-PL"/>
        </w:rPr>
        <w:t>eta</w:t>
      </w:r>
      <w:r w:rsidRPr="00575863">
        <w:rPr>
          <w:lang w:val="hr-HR"/>
        </w:rPr>
        <w:t xml:space="preserve">. </w:t>
      </w:r>
      <w:r w:rsidRPr="003B22FE">
        <w:rPr>
          <w:lang w:val="pl-PL"/>
        </w:rPr>
        <w:t>DOB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predstavlja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preliminarni</w:t>
      </w:r>
      <w:r w:rsidRPr="00575863">
        <w:rPr>
          <w:lang w:val="hr-HR"/>
        </w:rPr>
        <w:t xml:space="preserve"> </w:t>
      </w:r>
      <w:r w:rsidR="003B22FE">
        <w:rPr>
          <w:lang w:val="hr-HR"/>
        </w:rPr>
        <w:t xml:space="preserve">okvirni </w:t>
      </w:r>
      <w:r w:rsidR="0067053B">
        <w:rPr>
          <w:lang w:val="pl-PL"/>
        </w:rPr>
        <w:t>N</w:t>
      </w:r>
      <w:r w:rsidRPr="003B22FE">
        <w:rPr>
          <w:lang w:val="pl-PL"/>
        </w:rPr>
        <w:t>acrt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bud</w:t>
      </w:r>
      <w:r w:rsidRPr="00575863">
        <w:rPr>
          <w:lang w:val="hr-HR"/>
        </w:rPr>
        <w:t>ž</w:t>
      </w:r>
      <w:r w:rsidRPr="003B22FE">
        <w:rPr>
          <w:lang w:val="pl-PL"/>
        </w:rPr>
        <w:t>eta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Pr="00575863">
        <w:rPr>
          <w:lang w:val="hr-HR"/>
        </w:rPr>
        <w:t xml:space="preserve"> 20</w:t>
      </w:r>
      <w:r w:rsidR="00772710">
        <w:rPr>
          <w:lang w:val="hr-HR"/>
        </w:rPr>
        <w:t>19</w:t>
      </w:r>
      <w:r w:rsidRPr="00575863">
        <w:rPr>
          <w:lang w:val="hr-HR"/>
        </w:rPr>
        <w:t xml:space="preserve">. </w:t>
      </w:r>
      <w:r w:rsidRPr="003B22FE">
        <w:rPr>
          <w:lang w:val="pl-PL"/>
        </w:rPr>
        <w:t>godinu</w:t>
      </w:r>
      <w:r w:rsidRPr="00575863">
        <w:rPr>
          <w:lang w:val="hr-HR"/>
        </w:rPr>
        <w:t xml:space="preserve">, </w:t>
      </w:r>
      <w:r w:rsidRPr="003B22FE">
        <w:rPr>
          <w:lang w:val="pl-PL"/>
        </w:rPr>
        <w:t>te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daje</w:t>
      </w:r>
      <w:r w:rsidRPr="00575863">
        <w:rPr>
          <w:lang w:val="hr-HR"/>
        </w:rPr>
        <w:t xml:space="preserve"> </w:t>
      </w:r>
      <w:r w:rsidR="007661BF">
        <w:rPr>
          <w:lang w:val="hr-HR"/>
        </w:rPr>
        <w:t xml:space="preserve">okvirna </w:t>
      </w:r>
      <w:r w:rsidRPr="003B22FE">
        <w:rPr>
          <w:lang w:val="pl-PL"/>
        </w:rPr>
        <w:t>predvi</w:t>
      </w:r>
      <w:r w:rsidRPr="00575863">
        <w:rPr>
          <w:lang w:val="hr-HR"/>
        </w:rPr>
        <w:t>đ</w:t>
      </w:r>
      <w:r w:rsidRPr="003B22FE">
        <w:rPr>
          <w:lang w:val="pl-PL"/>
        </w:rPr>
        <w:t>anja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="00772710">
        <w:rPr>
          <w:lang w:val="hr-HR"/>
        </w:rPr>
        <w:t xml:space="preserve"> 2020</w:t>
      </w:r>
      <w:r w:rsidR="0067053B">
        <w:rPr>
          <w:lang w:val="hr-HR"/>
        </w:rPr>
        <w:t>.</w:t>
      </w:r>
      <w:r w:rsidR="002F6350">
        <w:rPr>
          <w:lang w:val="hr-HR"/>
        </w:rPr>
        <w:t xml:space="preserve"> </w:t>
      </w:r>
      <w:r w:rsidR="00425A55">
        <w:rPr>
          <w:lang w:val="hr-HR"/>
        </w:rPr>
        <w:t>-</w:t>
      </w:r>
      <w:r w:rsidR="002F6350">
        <w:rPr>
          <w:lang w:val="hr-HR"/>
        </w:rPr>
        <w:t xml:space="preserve"> </w:t>
      </w:r>
      <w:r w:rsidR="00772710">
        <w:rPr>
          <w:lang w:val="hr-HR"/>
        </w:rPr>
        <w:t>2021</w:t>
      </w:r>
      <w:r w:rsidRPr="00575863">
        <w:rPr>
          <w:lang w:val="hr-HR"/>
        </w:rPr>
        <w:t xml:space="preserve">. </w:t>
      </w:r>
      <w:r w:rsidR="0098363A">
        <w:rPr>
          <w:lang w:val="pl-PL"/>
        </w:rPr>
        <w:t>godinu</w:t>
      </w:r>
      <w:r w:rsidRPr="00575863">
        <w:rPr>
          <w:lang w:val="hr-HR"/>
        </w:rPr>
        <w:t xml:space="preserve">. </w:t>
      </w:r>
      <w:r w:rsidRPr="003B22FE">
        <w:rPr>
          <w:lang w:val="pl-PL"/>
        </w:rPr>
        <w:t>Osnova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izradu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bud</w:t>
      </w:r>
      <w:r w:rsidRPr="00575863">
        <w:rPr>
          <w:lang w:val="hr-HR"/>
        </w:rPr>
        <w:t>ž</w:t>
      </w:r>
      <w:r w:rsidRPr="003B22FE">
        <w:rPr>
          <w:lang w:val="pl-PL"/>
        </w:rPr>
        <w:t>eta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zasniva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se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na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procjeni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privrednog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razvoja</w:t>
      </w:r>
      <w:r w:rsidRPr="00575863">
        <w:rPr>
          <w:lang w:val="hr-HR"/>
        </w:rPr>
        <w:t xml:space="preserve">, </w:t>
      </w:r>
      <w:r w:rsidRPr="003B22FE">
        <w:rPr>
          <w:lang w:val="pl-PL"/>
        </w:rPr>
        <w:t>razvoja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socijalnog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sektora</w:t>
      </w:r>
      <w:r w:rsidRPr="00575863">
        <w:rPr>
          <w:lang w:val="hr-HR"/>
        </w:rPr>
        <w:t xml:space="preserve">, </w:t>
      </w:r>
      <w:r w:rsidRPr="003B22FE">
        <w:rPr>
          <w:lang w:val="pl-PL"/>
        </w:rPr>
        <w:t>makroekonomskih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pokazatelja</w:t>
      </w:r>
      <w:r w:rsidRPr="00575863">
        <w:rPr>
          <w:lang w:val="hr-HR"/>
        </w:rPr>
        <w:t xml:space="preserve">, </w:t>
      </w:r>
      <w:r w:rsidRPr="003B22FE">
        <w:rPr>
          <w:lang w:val="pl-PL"/>
        </w:rPr>
        <w:t>te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prognozi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prihoda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i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rashoda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za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godine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koje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su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obuhva</w:t>
      </w:r>
      <w:r w:rsidRPr="00575863">
        <w:rPr>
          <w:lang w:val="hr-HR"/>
        </w:rPr>
        <w:t>ć</w:t>
      </w:r>
      <w:r w:rsidRPr="003B22FE">
        <w:rPr>
          <w:lang w:val="pl-PL"/>
        </w:rPr>
        <w:t>ene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Dokumentom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okvirnog</w:t>
      </w:r>
      <w:r w:rsidRPr="00575863">
        <w:rPr>
          <w:lang w:val="hr-HR"/>
        </w:rPr>
        <w:t xml:space="preserve"> </w:t>
      </w:r>
      <w:r w:rsidRPr="003B22FE">
        <w:rPr>
          <w:lang w:val="pl-PL"/>
        </w:rPr>
        <w:t>bud</w:t>
      </w:r>
      <w:r w:rsidRPr="00575863">
        <w:rPr>
          <w:lang w:val="hr-HR"/>
        </w:rPr>
        <w:t>ž</w:t>
      </w:r>
      <w:r w:rsidRPr="003B22FE">
        <w:rPr>
          <w:lang w:val="pl-PL"/>
        </w:rPr>
        <w:t>eta</w:t>
      </w:r>
      <w:r w:rsidRPr="00575863">
        <w:rPr>
          <w:lang w:val="hr-HR"/>
        </w:rPr>
        <w:t>.</w:t>
      </w:r>
    </w:p>
    <w:p w:rsidR="00A829A4" w:rsidRDefault="006F535B" w:rsidP="00980EE2">
      <w:pPr>
        <w:ind w:firstLine="720"/>
        <w:jc w:val="both"/>
        <w:rPr>
          <w:lang w:val="hr-BA"/>
        </w:rPr>
      </w:pPr>
      <w:r>
        <w:rPr>
          <w:lang w:val="hr-BA"/>
        </w:rPr>
        <w:t>Služba za upravu ekonomskih poslova i poduzetništva općine Zavidovići</w:t>
      </w:r>
      <w:r w:rsidR="00980EE2">
        <w:rPr>
          <w:lang w:val="hr-BA"/>
        </w:rPr>
        <w:t xml:space="preserve"> je u </w:t>
      </w:r>
      <w:r w:rsidR="007661BF">
        <w:rPr>
          <w:lang w:val="hr-BA"/>
        </w:rPr>
        <w:t>narednim</w:t>
      </w:r>
      <w:r w:rsidR="00980EE2">
        <w:rPr>
          <w:lang w:val="hr-BA"/>
        </w:rPr>
        <w:t xml:space="preserve"> tabelama koristil</w:t>
      </w:r>
      <w:r>
        <w:rPr>
          <w:lang w:val="hr-BA"/>
        </w:rPr>
        <w:t>a</w:t>
      </w:r>
      <w:r w:rsidR="00980EE2">
        <w:rPr>
          <w:lang w:val="hr-BA"/>
        </w:rPr>
        <w:t xml:space="preserve"> projekcije prihoda dostavljene od nadležnih institucija, tj. Direkcije za ekonomsko planiranje pri Vijeću Ministara BiH, Odjeljenja za makroekonomsku analizu Uprave za indirektno oporezivanje BiH</w:t>
      </w:r>
      <w:r w:rsidR="007661BF">
        <w:rPr>
          <w:lang w:val="hr-BA"/>
        </w:rPr>
        <w:t>,</w:t>
      </w:r>
      <w:r w:rsidR="00980EE2">
        <w:rPr>
          <w:lang w:val="hr-BA"/>
        </w:rPr>
        <w:t xml:space="preserve"> te Federalnog ministarstva finansija, a shodno tome </w:t>
      </w:r>
      <w:r w:rsidR="007661BF">
        <w:rPr>
          <w:lang w:val="hr-BA"/>
        </w:rPr>
        <w:t>sačinjene</w:t>
      </w:r>
      <w:r w:rsidR="00980EE2">
        <w:rPr>
          <w:lang w:val="hr-BA"/>
        </w:rPr>
        <w:t xml:space="preserve"> su i projekcije okvirnih rashoda </w:t>
      </w:r>
      <w:r>
        <w:rPr>
          <w:lang w:val="hr-BA"/>
        </w:rPr>
        <w:t>općine Zavidovići</w:t>
      </w:r>
      <w:r w:rsidR="00980EE2">
        <w:rPr>
          <w:lang w:val="hr-BA"/>
        </w:rPr>
        <w:t xml:space="preserve"> koje će prilikom svake izrade Budžeta za</w:t>
      </w:r>
      <w:r w:rsidR="0067053B">
        <w:rPr>
          <w:lang w:val="hr-BA"/>
        </w:rPr>
        <w:t xml:space="preserve"> odgovorajuću godinu biti </w:t>
      </w:r>
      <w:r w:rsidR="00FC203A">
        <w:rPr>
          <w:lang w:val="hr-BA"/>
        </w:rPr>
        <w:t>podložne</w:t>
      </w:r>
      <w:r w:rsidR="00980EE2">
        <w:rPr>
          <w:lang w:val="hr-BA"/>
        </w:rPr>
        <w:t xml:space="preserve"> revidiranju i </w:t>
      </w:r>
      <w:r w:rsidR="00FC203A">
        <w:rPr>
          <w:lang w:val="hr-BA"/>
        </w:rPr>
        <w:t>potrebnim</w:t>
      </w:r>
      <w:r w:rsidR="00980EE2">
        <w:rPr>
          <w:lang w:val="hr-BA"/>
        </w:rPr>
        <w:t xml:space="preserve"> korekcijama</w:t>
      </w:r>
      <w:r w:rsidR="00A829A4">
        <w:rPr>
          <w:lang w:val="hr-BA"/>
        </w:rPr>
        <w:t>.</w:t>
      </w:r>
    </w:p>
    <w:p w:rsidR="00914066" w:rsidRDefault="00B42C58">
      <w:pPr>
        <w:jc w:val="both"/>
        <w:rPr>
          <w:lang w:val="hr-HR"/>
        </w:rPr>
      </w:pPr>
      <w:r>
        <w:rPr>
          <w:lang w:val="hr-HR"/>
        </w:rPr>
        <w:tab/>
      </w:r>
    </w:p>
    <w:p w:rsidR="00B42C58" w:rsidRPr="00B42C58" w:rsidRDefault="0094449C" w:rsidP="00914066">
      <w:pPr>
        <w:ind w:firstLine="720"/>
        <w:jc w:val="both"/>
        <w:rPr>
          <w:lang w:val="hr-HR"/>
        </w:rPr>
      </w:pPr>
      <w:r>
        <w:rPr>
          <w:lang w:val="hr-HR"/>
        </w:rPr>
        <w:t>Pri izradi ovog dokumenta</w:t>
      </w:r>
      <w:r w:rsidR="00B42C58">
        <w:rPr>
          <w:lang w:val="hr-HR"/>
        </w:rPr>
        <w:t xml:space="preserve"> korišteni </w:t>
      </w:r>
      <w:r>
        <w:rPr>
          <w:lang w:val="hr-HR"/>
        </w:rPr>
        <w:t xml:space="preserve">su </w:t>
      </w:r>
      <w:r w:rsidR="00B42C58">
        <w:rPr>
          <w:lang w:val="hr-HR"/>
        </w:rPr>
        <w:t>podaci iz sljedećih publikacija:</w:t>
      </w:r>
    </w:p>
    <w:p w:rsidR="0011497B" w:rsidRDefault="0011497B" w:rsidP="00B42C58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Vijeće ministara BiH, „Program ekonomskih reformi za 2018 - 2020. godinu“, Sarajevo, januar 2018.godine;</w:t>
      </w:r>
    </w:p>
    <w:p w:rsidR="000B0ABF" w:rsidRPr="000B0ABF" w:rsidRDefault="000B0ABF" w:rsidP="00B42C58">
      <w:pPr>
        <w:numPr>
          <w:ilvl w:val="0"/>
          <w:numId w:val="5"/>
        </w:numPr>
        <w:jc w:val="both"/>
        <w:rPr>
          <w:lang w:val="hr-HR"/>
        </w:rPr>
      </w:pPr>
      <w:r w:rsidRPr="000B0ABF">
        <w:rPr>
          <w:lang w:val="hr-HR"/>
        </w:rPr>
        <w:t>Direkcija za ekonomsko planiranje BiH, „Ekonomski trendovi januar – septembar 2017.</w:t>
      </w:r>
      <w:r w:rsidR="0053646D">
        <w:rPr>
          <w:lang w:val="hr-HR"/>
        </w:rPr>
        <w:t xml:space="preserve"> godine</w:t>
      </w:r>
      <w:r w:rsidRPr="000B0ABF">
        <w:rPr>
          <w:lang w:val="hr-HR"/>
        </w:rPr>
        <w:t xml:space="preserve">“, Sarajevo, decembar 2017. </w:t>
      </w:r>
      <w:r w:rsidR="0011497B">
        <w:rPr>
          <w:lang w:val="hr-HR"/>
        </w:rPr>
        <w:t>g</w:t>
      </w:r>
      <w:r w:rsidRPr="000B0ABF">
        <w:rPr>
          <w:lang w:val="hr-HR"/>
        </w:rPr>
        <w:t>odine</w:t>
      </w:r>
      <w:r w:rsidR="0011497B">
        <w:rPr>
          <w:lang w:val="hr-HR"/>
        </w:rPr>
        <w:t>;</w:t>
      </w:r>
    </w:p>
    <w:p w:rsidR="0052456A" w:rsidRPr="000B0ABF" w:rsidRDefault="00B42C58" w:rsidP="00B42C58">
      <w:pPr>
        <w:numPr>
          <w:ilvl w:val="0"/>
          <w:numId w:val="5"/>
        </w:numPr>
        <w:jc w:val="both"/>
        <w:rPr>
          <w:lang w:val="hr-HR"/>
        </w:rPr>
      </w:pPr>
      <w:r w:rsidRPr="000B0ABF">
        <w:rPr>
          <w:lang w:val="hr-HR"/>
        </w:rPr>
        <w:t>Direkcija za ekonomsko planiranje BiH, „Pers</w:t>
      </w:r>
      <w:r w:rsidR="000B0ABF" w:rsidRPr="000B0ABF">
        <w:rPr>
          <w:lang w:val="hr-HR"/>
        </w:rPr>
        <w:t>pektive 2019.- 2021</w:t>
      </w:r>
      <w:r w:rsidRPr="000B0ABF">
        <w:rPr>
          <w:lang w:val="hr-HR"/>
        </w:rPr>
        <w:t xml:space="preserve">. godine“, Sarajevo, </w:t>
      </w:r>
      <w:r w:rsidR="000B0ABF" w:rsidRPr="000B0ABF">
        <w:rPr>
          <w:lang w:val="hr-HR"/>
        </w:rPr>
        <w:t>april 2018</w:t>
      </w:r>
      <w:r w:rsidRPr="000B0ABF">
        <w:rPr>
          <w:lang w:val="hr-HR"/>
        </w:rPr>
        <w:t>. godine;</w:t>
      </w:r>
    </w:p>
    <w:p w:rsidR="00B42C58" w:rsidRPr="000B0ABF" w:rsidRDefault="00B42C58" w:rsidP="00B42C58">
      <w:pPr>
        <w:numPr>
          <w:ilvl w:val="0"/>
          <w:numId w:val="5"/>
        </w:numPr>
        <w:jc w:val="both"/>
        <w:rPr>
          <w:lang w:val="hr-HR"/>
        </w:rPr>
      </w:pPr>
      <w:r w:rsidRPr="000B0ABF">
        <w:rPr>
          <w:lang w:val="hr-HR"/>
        </w:rPr>
        <w:t>Direkcija za ekonomsko planiranje BiH, „Informacija o kretanju makroekonomskih pokazatelja</w:t>
      </w:r>
      <w:r w:rsidR="00C46241" w:rsidRPr="000B0ABF">
        <w:rPr>
          <w:lang w:val="hr-HR"/>
        </w:rPr>
        <w:t xml:space="preserve"> januar – </w:t>
      </w:r>
      <w:r w:rsidR="00F13035" w:rsidRPr="000B0ABF">
        <w:rPr>
          <w:lang w:val="hr-HR"/>
        </w:rPr>
        <w:t>decembar</w:t>
      </w:r>
      <w:r w:rsidR="000B0ABF" w:rsidRPr="000B0ABF">
        <w:rPr>
          <w:lang w:val="hr-HR"/>
        </w:rPr>
        <w:t xml:space="preserve"> 2017</w:t>
      </w:r>
      <w:r w:rsidRPr="000B0ABF">
        <w:rPr>
          <w:lang w:val="hr-HR"/>
        </w:rPr>
        <w:t>. godine“,</w:t>
      </w:r>
      <w:r w:rsidR="000B0ABF" w:rsidRPr="000B0ABF">
        <w:rPr>
          <w:lang w:val="hr-HR"/>
        </w:rPr>
        <w:t xml:space="preserve"> Sarajevo, februar 2018</w:t>
      </w:r>
      <w:r w:rsidRPr="000B0ABF">
        <w:rPr>
          <w:lang w:val="hr-HR"/>
        </w:rPr>
        <w:t>. godine;</w:t>
      </w:r>
    </w:p>
    <w:p w:rsidR="00B42C58" w:rsidRPr="000B0ABF" w:rsidRDefault="00B42C58" w:rsidP="00B42C58">
      <w:pPr>
        <w:numPr>
          <w:ilvl w:val="0"/>
          <w:numId w:val="5"/>
        </w:numPr>
        <w:jc w:val="both"/>
        <w:rPr>
          <w:lang w:val="hr-HR"/>
        </w:rPr>
      </w:pPr>
      <w:r w:rsidRPr="000B0ABF">
        <w:rPr>
          <w:lang w:val="hr-HR"/>
        </w:rPr>
        <w:t>Odjeljenje za makroekonomsku analizu pri Upravi za indirektno oporezivanje BiH, „OMA Bilten</w:t>
      </w:r>
      <w:r w:rsidR="0040142B" w:rsidRPr="000B0ABF">
        <w:rPr>
          <w:lang w:val="hr-HR"/>
        </w:rPr>
        <w:t>“</w:t>
      </w:r>
      <w:r w:rsidR="00D44ABC" w:rsidRPr="000B0ABF">
        <w:rPr>
          <w:lang w:val="hr-HR"/>
        </w:rPr>
        <w:t xml:space="preserve"> broj: </w:t>
      </w:r>
      <w:r w:rsidR="0053646D">
        <w:rPr>
          <w:lang w:val="hr-HR"/>
        </w:rPr>
        <w:t>154 i 155</w:t>
      </w:r>
      <w:r w:rsidRPr="000B0ABF">
        <w:rPr>
          <w:lang w:val="hr-HR"/>
        </w:rPr>
        <w:t>;</w:t>
      </w:r>
    </w:p>
    <w:p w:rsidR="00B42C58" w:rsidRPr="000B0ABF" w:rsidRDefault="00A76FE5" w:rsidP="00B42C58">
      <w:pPr>
        <w:numPr>
          <w:ilvl w:val="0"/>
          <w:numId w:val="5"/>
        </w:numPr>
        <w:jc w:val="both"/>
        <w:rPr>
          <w:lang w:val="hr-HR"/>
        </w:rPr>
      </w:pPr>
      <w:r w:rsidRPr="000B0ABF">
        <w:rPr>
          <w:lang w:val="hr-HR"/>
        </w:rPr>
        <w:t>Federalno ministarstvo finansija</w:t>
      </w:r>
      <w:r w:rsidR="0030503D" w:rsidRPr="000B0ABF">
        <w:rPr>
          <w:lang w:val="hr-HR"/>
        </w:rPr>
        <w:t>, Smjernice ekonomske i fiskaln</w:t>
      </w:r>
      <w:r w:rsidRPr="000B0ABF">
        <w:rPr>
          <w:lang w:val="hr-HR"/>
        </w:rPr>
        <w:t>e</w:t>
      </w:r>
      <w:r w:rsidR="0030503D" w:rsidRPr="000B0ABF">
        <w:rPr>
          <w:lang w:val="hr-HR"/>
        </w:rPr>
        <w:t xml:space="preserve"> </w:t>
      </w:r>
      <w:r w:rsidR="000B0ABF" w:rsidRPr="000B0ABF">
        <w:rPr>
          <w:lang w:val="hr-HR"/>
        </w:rPr>
        <w:t>politike FBiH za period 2019</w:t>
      </w:r>
      <w:r w:rsidR="0053646D">
        <w:rPr>
          <w:lang w:val="hr-HR"/>
        </w:rPr>
        <w:t xml:space="preserve"> </w:t>
      </w:r>
      <w:r w:rsidR="000B0ABF" w:rsidRPr="000B0ABF">
        <w:rPr>
          <w:lang w:val="hr-HR"/>
        </w:rPr>
        <w:t>-</w:t>
      </w:r>
      <w:r w:rsidR="0053646D">
        <w:rPr>
          <w:lang w:val="hr-HR"/>
        </w:rPr>
        <w:t xml:space="preserve"> </w:t>
      </w:r>
      <w:r w:rsidR="000B0ABF" w:rsidRPr="000B0ABF">
        <w:rPr>
          <w:lang w:val="hr-HR"/>
        </w:rPr>
        <w:t>2021</w:t>
      </w:r>
      <w:r w:rsidR="00F13035" w:rsidRPr="000B0ABF">
        <w:rPr>
          <w:lang w:val="hr-HR"/>
        </w:rPr>
        <w:t>.</w:t>
      </w:r>
      <w:r w:rsidR="0053646D">
        <w:rPr>
          <w:lang w:val="hr-HR"/>
        </w:rPr>
        <w:t xml:space="preserve"> </w:t>
      </w:r>
      <w:r w:rsidR="00F13035" w:rsidRPr="000B0ABF">
        <w:rPr>
          <w:lang w:val="hr-HR"/>
        </w:rPr>
        <w:t>godine, Sarajevo,</w:t>
      </w:r>
      <w:r w:rsidR="0053646D">
        <w:rPr>
          <w:lang w:val="hr-HR"/>
        </w:rPr>
        <w:t xml:space="preserve"> </w:t>
      </w:r>
      <w:r w:rsidR="000B0ABF" w:rsidRPr="000B0ABF">
        <w:rPr>
          <w:lang w:val="hr-HR"/>
        </w:rPr>
        <w:t>juni 2018</w:t>
      </w:r>
      <w:r w:rsidRPr="000B0ABF">
        <w:rPr>
          <w:lang w:val="hr-HR"/>
        </w:rPr>
        <w:t>.</w:t>
      </w:r>
      <w:r w:rsidR="0053646D">
        <w:rPr>
          <w:lang w:val="hr-HR"/>
        </w:rPr>
        <w:t xml:space="preserve"> </w:t>
      </w:r>
      <w:r w:rsidRPr="000B0ABF">
        <w:rPr>
          <w:lang w:val="hr-HR"/>
        </w:rPr>
        <w:t>godine</w:t>
      </w:r>
      <w:r w:rsidR="00B42C58" w:rsidRPr="000B0ABF">
        <w:rPr>
          <w:lang w:val="hr-HR"/>
        </w:rPr>
        <w:t>;</w:t>
      </w:r>
    </w:p>
    <w:p w:rsidR="00B42C58" w:rsidRPr="000B0ABF" w:rsidRDefault="00B42C58" w:rsidP="00B42C58">
      <w:pPr>
        <w:numPr>
          <w:ilvl w:val="0"/>
          <w:numId w:val="5"/>
        </w:numPr>
        <w:jc w:val="both"/>
        <w:rPr>
          <w:lang w:val="hr-HR"/>
        </w:rPr>
      </w:pPr>
      <w:r w:rsidRPr="000B0ABF">
        <w:rPr>
          <w:lang w:val="hr-HR"/>
        </w:rPr>
        <w:t>Federalni zavod za statistiku, „Mjesečni statistički pregled Federacije Bosne i Hercegovine</w:t>
      </w:r>
      <w:r w:rsidR="0040142B" w:rsidRPr="000B0ABF">
        <w:rPr>
          <w:lang w:val="hr-HR"/>
        </w:rPr>
        <w:t>“</w:t>
      </w:r>
      <w:r w:rsidRPr="000B0ABF">
        <w:rPr>
          <w:lang w:val="hr-HR"/>
        </w:rPr>
        <w:t xml:space="preserve"> broj</w:t>
      </w:r>
      <w:r w:rsidR="00044264" w:rsidRPr="000B0ABF">
        <w:rPr>
          <w:lang w:val="hr-HR"/>
        </w:rPr>
        <w:t xml:space="preserve">: </w:t>
      </w:r>
      <w:r w:rsidRPr="000B0ABF">
        <w:rPr>
          <w:lang w:val="hr-HR"/>
        </w:rPr>
        <w:t xml:space="preserve"> </w:t>
      </w:r>
      <w:r w:rsidR="00E364CA" w:rsidRPr="000B0ABF">
        <w:rPr>
          <w:lang w:val="hr-HR"/>
        </w:rPr>
        <w:t>1, 2, 3, 4 i 5</w:t>
      </w:r>
      <w:r w:rsidRPr="000B0ABF">
        <w:rPr>
          <w:lang w:val="hr-HR"/>
        </w:rPr>
        <w:t>;</w:t>
      </w:r>
    </w:p>
    <w:p w:rsidR="00914066" w:rsidRPr="000B0ABF" w:rsidRDefault="00914066" w:rsidP="00914066">
      <w:pPr>
        <w:numPr>
          <w:ilvl w:val="0"/>
          <w:numId w:val="5"/>
        </w:numPr>
        <w:jc w:val="both"/>
        <w:rPr>
          <w:lang w:val="hr-HR"/>
        </w:rPr>
      </w:pPr>
      <w:r w:rsidRPr="000B0ABF">
        <w:rPr>
          <w:lang w:val="hr-HR"/>
        </w:rPr>
        <w:t>Federalni zavod za statistiku, „Mjesečni statistički pregled Federacije Bosne i Hercegovine po kantonim</w:t>
      </w:r>
      <w:r w:rsidR="0040142B" w:rsidRPr="000B0ABF">
        <w:rPr>
          <w:lang w:val="hr-HR"/>
        </w:rPr>
        <w:t>a“</w:t>
      </w:r>
      <w:r w:rsidR="0030503D" w:rsidRPr="000B0ABF">
        <w:rPr>
          <w:lang w:val="hr-HR"/>
        </w:rPr>
        <w:t>,</w:t>
      </w:r>
      <w:r w:rsidRPr="000B0ABF">
        <w:rPr>
          <w:lang w:val="hr-HR"/>
        </w:rPr>
        <w:t xml:space="preserve"> broj</w:t>
      </w:r>
      <w:r w:rsidR="00044264" w:rsidRPr="000B0ABF">
        <w:rPr>
          <w:lang w:val="hr-HR"/>
        </w:rPr>
        <w:t>:</w:t>
      </w:r>
      <w:r w:rsidR="00E364CA" w:rsidRPr="000B0ABF">
        <w:rPr>
          <w:lang w:val="hr-HR"/>
        </w:rPr>
        <w:t xml:space="preserve"> 1, 2, 3, 4 i 5;</w:t>
      </w:r>
    </w:p>
    <w:p w:rsidR="00B42C58" w:rsidRPr="00B42C58" w:rsidRDefault="00B42C58" w:rsidP="00914066">
      <w:pPr>
        <w:ind w:left="360"/>
        <w:jc w:val="both"/>
        <w:rPr>
          <w:lang w:val="hr-HR"/>
        </w:rPr>
      </w:pPr>
    </w:p>
    <w:p w:rsidR="0052456A" w:rsidRDefault="0052456A">
      <w:pPr>
        <w:jc w:val="both"/>
        <w:rPr>
          <w:b/>
          <w:lang w:val="hr-HR"/>
        </w:rPr>
      </w:pPr>
    </w:p>
    <w:p w:rsidR="0052456A" w:rsidRDefault="0052456A">
      <w:pPr>
        <w:jc w:val="both"/>
        <w:rPr>
          <w:b/>
          <w:lang w:val="hr-HR"/>
        </w:rPr>
      </w:pPr>
    </w:p>
    <w:p w:rsidR="00C66D90" w:rsidRDefault="00C66D90">
      <w:pPr>
        <w:jc w:val="both"/>
        <w:rPr>
          <w:b/>
          <w:lang w:val="hr-HR"/>
        </w:rPr>
      </w:pPr>
    </w:p>
    <w:p w:rsidR="00A76FE5" w:rsidRDefault="00A76FE5">
      <w:pPr>
        <w:jc w:val="both"/>
        <w:rPr>
          <w:b/>
          <w:lang w:val="hr-HR"/>
        </w:rPr>
      </w:pPr>
    </w:p>
    <w:p w:rsidR="00A76FE5" w:rsidRPr="00E56350" w:rsidRDefault="00E56350" w:rsidP="00E56350">
      <w:pPr>
        <w:jc w:val="center"/>
        <w:rPr>
          <w:sz w:val="20"/>
          <w:szCs w:val="20"/>
          <w:lang w:val="hr-HR"/>
        </w:rPr>
      </w:pPr>
      <w:r w:rsidRPr="00E56350">
        <w:rPr>
          <w:sz w:val="20"/>
          <w:szCs w:val="20"/>
          <w:lang w:val="hr-HR"/>
        </w:rPr>
        <w:lastRenderedPageBreak/>
        <w:t>-626-</w:t>
      </w:r>
    </w:p>
    <w:p w:rsidR="00E56350" w:rsidRDefault="00E56350" w:rsidP="00E56350">
      <w:pPr>
        <w:jc w:val="center"/>
        <w:rPr>
          <w:b/>
          <w:lang w:val="hr-HR"/>
        </w:rPr>
      </w:pPr>
    </w:p>
    <w:p w:rsidR="00B6443F" w:rsidRPr="00575863" w:rsidRDefault="00A7758F">
      <w:pPr>
        <w:jc w:val="both"/>
        <w:rPr>
          <w:b/>
          <w:lang w:val="hr-HR"/>
        </w:rPr>
      </w:pPr>
      <w:r>
        <w:rPr>
          <w:b/>
          <w:lang w:val="hr-HR"/>
        </w:rPr>
        <w:t xml:space="preserve">DIO DRUGI - </w:t>
      </w:r>
      <w:r w:rsidRPr="00913B69">
        <w:rPr>
          <w:b/>
          <w:lang w:val="hr-HR"/>
        </w:rPr>
        <w:t xml:space="preserve">PRETPOSTAVKE I PROGNOZE </w:t>
      </w:r>
    </w:p>
    <w:p w:rsidR="00B6443F" w:rsidRPr="004A18E0" w:rsidRDefault="00B6443F">
      <w:pPr>
        <w:jc w:val="both"/>
        <w:rPr>
          <w:b/>
          <w:color w:val="FF0000"/>
          <w:lang w:val="hr-HR"/>
        </w:rPr>
      </w:pPr>
    </w:p>
    <w:p w:rsidR="00B6443F" w:rsidRPr="00913B69" w:rsidRDefault="00A7758F">
      <w:pPr>
        <w:jc w:val="both"/>
        <w:rPr>
          <w:b/>
          <w:lang w:val="hr-HR"/>
        </w:rPr>
      </w:pPr>
      <w:r>
        <w:rPr>
          <w:b/>
          <w:lang w:val="hr-HR"/>
        </w:rPr>
        <w:t xml:space="preserve">POGLAVLJE I. </w:t>
      </w:r>
      <w:r w:rsidR="00B6443F" w:rsidRPr="00913B69">
        <w:rPr>
          <w:b/>
          <w:lang w:val="hr-HR"/>
        </w:rPr>
        <w:t xml:space="preserve">SREDNJOROČNE MAKROEKONOMSKE PRETPOSTAVKE I PROGNOZE </w:t>
      </w:r>
    </w:p>
    <w:p w:rsidR="00B6443F" w:rsidRPr="009329CB" w:rsidRDefault="00B6443F">
      <w:pPr>
        <w:jc w:val="both"/>
        <w:rPr>
          <w:b/>
          <w:color w:val="FF0000"/>
          <w:lang w:val="hr-HR"/>
        </w:rPr>
      </w:pPr>
    </w:p>
    <w:p w:rsidR="0089333A" w:rsidRDefault="00957931" w:rsidP="0089333A">
      <w:pPr>
        <w:jc w:val="both"/>
        <w:rPr>
          <w:lang w:val="pl-PL"/>
        </w:rPr>
      </w:pPr>
      <w:r>
        <w:rPr>
          <w:b/>
          <w:lang w:val="pl-PL"/>
        </w:rPr>
        <w:t>Odjeljak A</w:t>
      </w:r>
      <w:r w:rsidR="0089333A" w:rsidRPr="009329CB">
        <w:rPr>
          <w:b/>
          <w:lang w:val="pl-PL"/>
        </w:rPr>
        <w:t xml:space="preserve">. </w:t>
      </w:r>
      <w:r w:rsidR="00EF700F">
        <w:rPr>
          <w:b/>
          <w:iCs/>
          <w:lang w:val="bs-Latn-BA"/>
        </w:rPr>
        <w:t>Događaji iz proteklih</w:t>
      </w:r>
      <w:r w:rsidR="0089333A">
        <w:rPr>
          <w:b/>
          <w:iCs/>
          <w:lang w:val="bs-Latn-BA"/>
        </w:rPr>
        <w:t xml:space="preserve"> godin</w:t>
      </w:r>
      <w:r w:rsidR="00EF700F">
        <w:rPr>
          <w:b/>
          <w:iCs/>
          <w:lang w:val="bs-Latn-BA"/>
        </w:rPr>
        <w:t>a</w:t>
      </w:r>
      <w:r w:rsidR="0089333A" w:rsidRPr="003B22FE">
        <w:rPr>
          <w:lang w:val="pl-PL"/>
        </w:rPr>
        <w:t xml:space="preserve"> </w:t>
      </w:r>
    </w:p>
    <w:p w:rsidR="009329CB" w:rsidRDefault="009329CB" w:rsidP="00913B69">
      <w:pPr>
        <w:jc w:val="both"/>
        <w:rPr>
          <w:lang w:val="pl-PL"/>
        </w:rPr>
      </w:pPr>
    </w:p>
    <w:p w:rsidR="0094449C" w:rsidRDefault="0094449C" w:rsidP="0094449C"/>
    <w:p w:rsidR="0094449C" w:rsidRDefault="0094449C" w:rsidP="0094449C">
      <w:pPr>
        <w:ind w:left="20" w:right="20" w:firstLine="700"/>
        <w:jc w:val="both"/>
      </w:pPr>
      <w:r w:rsidRPr="0030759B">
        <w:t xml:space="preserve">U nedostatku zvaničnih podataka o nacionalnim računima, a na osnovu raspoloživih kratkoročnih indikatora se može zaključiti da je Bosna i Hercegovina u 2017. godini ostvarila ekonomski rast u rangu prošlogodišnjeg. Međutim, prije elaboriranja kratkoročnih indkatora vrijedi istaći da je EK u  svojoj regularnoj publikaciji (EU Candidate &amp; Potential Candidate Quarterly-CCEQ) navela značajna odstupanja između proizvodnog i rashodovnog pristupa prilikom obračuna BDP-a. </w:t>
      </w:r>
    </w:p>
    <w:p w:rsidR="0094449C" w:rsidRPr="0030759B" w:rsidRDefault="0094449C" w:rsidP="0094449C">
      <w:pPr>
        <w:ind w:left="20" w:right="20" w:firstLine="700"/>
        <w:jc w:val="both"/>
      </w:pPr>
      <w:r w:rsidRPr="0030759B">
        <w:t>Unatoč ovim razlikama, bar kada je rashodovni pristup u pitanju može se zaključiti da su glavne izvore ostvarenog rasta BDP-a u 2017. godini predstavljali izvoz i privatna potrošnja, dok je doprinos investicija i javne potrošnje bio skromniji.</w:t>
      </w:r>
    </w:p>
    <w:p w:rsidR="00BC735B" w:rsidRDefault="0094449C" w:rsidP="0094449C">
      <w:pPr>
        <w:ind w:left="20" w:right="20" w:firstLine="700"/>
        <w:jc w:val="both"/>
      </w:pPr>
      <w:r w:rsidRPr="0030759B">
        <w:t>S druge strane, posmatrano po proizvodnom pristupu Bosna i Hercegovina je u trećem kvartalu ostvarila ekonomski rast od 2,9% u odnosu na isti period prethodne godine, što je približno jednako ekonomskom rastu u prvom polugodištu koji je iznosio oko 3%.</w:t>
      </w:r>
      <w:r w:rsidRPr="0030759B">
        <w:rPr>
          <w:vertAlign w:val="superscript"/>
        </w:rPr>
        <w:footnoteReference w:id="2"/>
      </w:r>
      <w:r w:rsidRPr="0030759B">
        <w:t xml:space="preserve"> Ako se pažljivije posmatra struktura ostvarenog rasta BDP-a može se primjetiti da je isti ostvaren zahvaljujući jačanju izvozne i u određenoj mjeri domaće tražnje. Naime, tokom 2017. godine najznačajnija povećanja ekonomske aktivnosti od preko 5% zabilježena su u okviru izvozno orijentirane prerađivačke industrije i maloprodaje koja je definisana domaćom tražnjom. Ovo povećanje ekonomske aktivnosti rezultiralo je značajnim povećanjem broja zaposlenih u odnosu na prethodnu godinu. Vrijedi napomenuti da je 2/3 novozaposlenih u okviru prerađivačke industrije, dok se 1/3 odnosi na novozaposlene u sektoru usluga. Međutim, kada su u pitanju ekonomska dešavanja u Bosni i Hercegovini za 2017. godinu na osnovu raspoloživih podataka sa sigurnošću se može zaključiti da su ona bila u znaku vanjskog sektora gdje se posebno ističe vanjskotrgovinska robna razmjena sa svijetom. Na</w:t>
      </w:r>
      <w:r w:rsidR="00CA0BC5">
        <w:t>i</w:t>
      </w:r>
      <w:r w:rsidRPr="0030759B">
        <w:t>me, tokom godine Bosna i Hercegovina je zabilježila dvocifrene stope rasta ukupne robne razmjene, izvoza i uvoza roba. Povećanje izvozne tražnje i cijena pojedinih izvoznih proizvoda rezultirali su nominalnim povećanje</w:t>
      </w:r>
      <w:r w:rsidR="00BC735B">
        <w:t>m bh. robnog izvoza od 17,4%</w:t>
      </w:r>
      <w:r w:rsidRPr="0030759B">
        <w:t xml:space="preserve">, što je znatno više u odnosu na prethodnu godinu kada je godišnji rast izvoza roba iznoso 4,8%. </w:t>
      </w:r>
    </w:p>
    <w:p w:rsidR="0094449C" w:rsidRPr="0030759B" w:rsidRDefault="00BC735B" w:rsidP="0094449C">
      <w:pPr>
        <w:ind w:left="20" w:right="20" w:firstLine="700"/>
        <w:jc w:val="both"/>
      </w:pPr>
      <w:r>
        <w:t>O</w:t>
      </w:r>
      <w:r w:rsidR="0094449C" w:rsidRPr="0030759B">
        <w:t xml:space="preserve">vo povećanje izvoza, </w:t>
      </w:r>
      <w:r>
        <w:t xml:space="preserve">odnosno </w:t>
      </w:r>
      <w:r w:rsidR="0094449C" w:rsidRPr="0030759B">
        <w:t>generalno viši nivo ekonomske aktivnosti u zemlji uz prisustvo cjenovnog efekta doveli su istovremeno i do nominalnog povećanja robnog uvoza od 12,2% što je isto tako znatno više od prošlogodišnjih 2%. Tako su ova kretanja izvoza i uvoza roba za posljedicu imali povećanje robnog deficita od 5% nominalnom smislu. Međutim, ako se ima u vidu i značajan rast izvoznih i uvoznih cijena, skoro sa sigurnošću se može konstatovati da je robni deficit u 2017. godini stagnirao u odnosu na prethodnu godinu. Ako se ovim pokazateljima vanjskotrgovinske robne razmjene pridodaju pozitivan bilans u domenu izvoza usluga, rast novčanih priliva iz inostranstva, te pozitivan trend rasta direktnih stranih ulaganja sa sigurnošću se može zaključiti da je vanjski sektor ostvario značajan doprinos rastu BDP-a i na neki način obilježio 2017. godinu kada su u pitanju ekonomska dešavanja u BiH.</w:t>
      </w:r>
    </w:p>
    <w:p w:rsidR="00E56350" w:rsidRDefault="00E56350" w:rsidP="00E56350">
      <w:pPr>
        <w:ind w:right="20"/>
        <w:jc w:val="center"/>
        <w:rPr>
          <w:sz w:val="20"/>
          <w:szCs w:val="20"/>
        </w:rPr>
      </w:pPr>
      <w:r w:rsidRPr="00E56350">
        <w:rPr>
          <w:sz w:val="20"/>
          <w:szCs w:val="20"/>
        </w:rPr>
        <w:lastRenderedPageBreak/>
        <w:t>-627-</w:t>
      </w:r>
    </w:p>
    <w:p w:rsidR="00E56350" w:rsidRPr="00E56350" w:rsidRDefault="00E56350" w:rsidP="00E56350">
      <w:pPr>
        <w:ind w:right="20"/>
        <w:jc w:val="center"/>
        <w:rPr>
          <w:sz w:val="8"/>
          <w:szCs w:val="8"/>
        </w:rPr>
      </w:pPr>
    </w:p>
    <w:p w:rsidR="0094449C" w:rsidRPr="0030759B" w:rsidRDefault="0094449C" w:rsidP="00BC735B">
      <w:pPr>
        <w:ind w:left="20" w:right="20" w:firstLine="700"/>
        <w:jc w:val="both"/>
      </w:pPr>
      <w:r w:rsidRPr="0030759B">
        <w:t>Ukupni građevinski radovi u Bosni i Hercegovini u trećem kvartalu 2017. su imali skromni rast od 0,1% u odnosu na drugi kvartal. Građevinski radovi u okviru visokogradnje su u K3 uvećani za 1% dok su radovi u niskogradnji zabilježili pad od 3,5% (K3/K2 2017).</w:t>
      </w:r>
    </w:p>
    <w:p w:rsidR="0094449C" w:rsidRPr="0030759B" w:rsidRDefault="0094449C" w:rsidP="0094449C">
      <w:pPr>
        <w:ind w:left="20" w:right="20"/>
        <w:jc w:val="both"/>
      </w:pPr>
      <w:r w:rsidRPr="0030759B">
        <w:t xml:space="preserve">Promet trgovine na malo u </w:t>
      </w:r>
      <w:r w:rsidR="00BC735B" w:rsidRPr="0030759B">
        <w:t>Bosni i Hercegovini</w:t>
      </w:r>
      <w:r w:rsidRPr="0030759B">
        <w:t>, u ra</w:t>
      </w:r>
      <w:r w:rsidR="00A56C01">
        <w:t>z</w:t>
      </w:r>
      <w:r w:rsidRPr="0030759B">
        <w:t>doblju januar</w:t>
      </w:r>
      <w:r w:rsidR="00BC735B">
        <w:t xml:space="preserve"> </w:t>
      </w:r>
      <w:r w:rsidRPr="0030759B">
        <w:t>-</w:t>
      </w:r>
      <w:r w:rsidR="00BC735B">
        <w:t xml:space="preserve"> </w:t>
      </w:r>
      <w:r w:rsidRPr="0030759B">
        <w:t>decembar 2017. godine, ostvario je rast od 5,1% u odnosu na isti period prošle godine. Ovom rastu najveći doprinos dali su povećanje trgovine motornim gorivima od 4,9% i trgovine na malo, osim motornih goriva u specijalizovanim prodavnicama od 5,1%. Rast prometa u periodu januar</w:t>
      </w:r>
      <w:r w:rsidR="00BC735B">
        <w:t xml:space="preserve"> </w:t>
      </w:r>
      <w:r w:rsidRPr="0030759B">
        <w:t>-</w:t>
      </w:r>
      <w:r w:rsidR="00BC735B">
        <w:t xml:space="preserve"> </w:t>
      </w:r>
      <w:r w:rsidRPr="0030759B">
        <w:t>decembar 2017. godine je zabilježen u trgovini prehrambenim proizvodima (hranom, pićem i duhanskim proizvodima) u iznosu od 3,7%, a u trgovini neprehrambenim proizvodima je također zabilježen rast u iznosu od 6%. U kategoriji neprehrambenih proizvoda trgovine na malo zabilježen je rast prometa u kategorijama tekstila, odjeće, obuće i proizvoda od kože od 16,5%, trgovini namještajem, rasvjetom i električnim aparatima za domaćinstvo od 6,9%, rast prometa u apotekama i trgovinama sa medicinskim i kozmetičkim preparatima od 2% te u kategoriji prometa knjigama, novinama, muzičkim i videozapisima gdje je zabilježen rast od 3,5%.</w:t>
      </w:r>
    </w:p>
    <w:p w:rsidR="0094449C" w:rsidRPr="0030759B" w:rsidRDefault="0094449C" w:rsidP="00BC735B">
      <w:pPr>
        <w:ind w:left="20" w:right="20" w:firstLine="700"/>
        <w:jc w:val="both"/>
      </w:pPr>
      <w:r w:rsidRPr="0030759B">
        <w:t>Prema dostupnim podacima za treći kvartal 2017. godine promet transporta i skladištenja zabilježio je rast od 3,5% u odnosu na prethodni kvartal. Ovom porastu najviše je doprinio rast prometa od 35,2% koji je ostvaren u oblastima skladištenja i pomoćnih djelatnosti u prevozu (K3/K2 2017). Pad prometa zabilježen je u području kopnenog prevoza i cjevovodnog transporta u iznosu od 0,1 te kod poštanskih i kurirskih djelatnosti pad od 3,2%.</w:t>
      </w:r>
    </w:p>
    <w:p w:rsidR="0094449C" w:rsidRDefault="0094449C" w:rsidP="005C30B7">
      <w:pPr>
        <w:ind w:left="23" w:right="23" w:firstLine="697"/>
        <w:jc w:val="both"/>
      </w:pPr>
      <w:r w:rsidRPr="0030759B">
        <w:t xml:space="preserve">Pored vanjskog sektora, na bazi određenih indikatora kao što su povećanje broja zaposlenih, prometa u maloprodaji i kreditnog rasta u okviru sektora stanovništva od 6,7% može se zaključiti da je došlo i do povećanja privatne potrošnje. U okviru ukupnih prihoda, a u kontekstu povećanja potrošnje, neto prihodi </w:t>
      </w:r>
      <w:r w:rsidR="005C30B7">
        <w:t>od PDV-a su povećani za 4,1%</w:t>
      </w:r>
      <w:r w:rsidRPr="0030759B">
        <w:t>. Međutim, potrebno je također istaći da je tokom godine došlo do značajnijeg rasta servisiranja vanjskog duga od oko 30%. Imajući u vidu navedene okolnosti i zastoj u realizaciji finansijskih aranžmana, kao i ne tako uvjerljive pokazatelje iz sektora građevinarstva može se zaključiti da je doprinos ukupnih investicija u povećanju BDP-u u 2017. godini bio zanemariv.</w:t>
      </w:r>
    </w:p>
    <w:p w:rsidR="000A17E9" w:rsidRPr="00E56350" w:rsidRDefault="000A17E9" w:rsidP="0089333A">
      <w:pPr>
        <w:jc w:val="both"/>
        <w:rPr>
          <w:b/>
          <w:sz w:val="16"/>
          <w:szCs w:val="16"/>
          <w:lang w:val="bs-Latn-BA"/>
        </w:rPr>
      </w:pPr>
    </w:p>
    <w:p w:rsidR="0089333A" w:rsidRPr="000113FA" w:rsidRDefault="005F3FDC" w:rsidP="0089333A">
      <w:pPr>
        <w:jc w:val="both"/>
        <w:rPr>
          <w:b/>
          <w:lang w:val="bs-Latn-BA"/>
        </w:rPr>
      </w:pPr>
      <w:r>
        <w:rPr>
          <w:b/>
          <w:lang w:val="bs-Latn-BA"/>
        </w:rPr>
        <w:t>Odjeljak B</w:t>
      </w:r>
      <w:r w:rsidR="0089333A" w:rsidRPr="000113FA">
        <w:rPr>
          <w:b/>
          <w:lang w:val="bs-Latn-BA"/>
        </w:rPr>
        <w:t xml:space="preserve">. </w:t>
      </w:r>
      <w:r w:rsidR="00EA507A">
        <w:rPr>
          <w:b/>
          <w:lang w:val="bs-Latn-BA"/>
        </w:rPr>
        <w:t>Trenutno stanje u Bosni i Hercegovini</w:t>
      </w:r>
    </w:p>
    <w:p w:rsidR="00CF0A22" w:rsidRDefault="00CF0A22" w:rsidP="00CF0A22">
      <w:pPr>
        <w:ind w:left="20" w:right="20"/>
        <w:jc w:val="both"/>
      </w:pPr>
      <w:r>
        <w:t xml:space="preserve">Iako zvanično sapoštenje nije bilo dostupno u vrijeme pripreme ovog izvještaja, trenutno raspoloživi preliminarni podaci za prvih 9 mjeseci 2017. godine nagovještavaju da je ekonomski rast u Bosni i Hercegovini sa početka godine u nešto jačem intenzitetu nastavljen i tokom trećeg kvartala tekuće godine. Čini se da je ključnu determinantu rasta u trećem kvartalu predstavljalo povoljnije vanjsko okruženje u odnosu na početak godine. </w:t>
      </w:r>
    </w:p>
    <w:p w:rsidR="00242990" w:rsidRDefault="00CF0A22" w:rsidP="00CF0A22">
      <w:pPr>
        <w:ind w:left="20" w:right="20" w:firstLine="700"/>
        <w:jc w:val="both"/>
      </w:pPr>
      <w:r>
        <w:t>Naime, prema preliminarnim podacima Eurostata u EU28 u trećem kvartalu u odnosu na prethodni kvartal zabilježen je ekonomski rast od 0,6%, dok je registrirana stopa rasta BDP-a u odnosu na isti kvartal prethodne godine iznosila 2,5%.</w:t>
      </w:r>
      <w:r>
        <w:rPr>
          <w:vertAlign w:val="superscript"/>
        </w:rPr>
        <w:footnoteReference w:id="3"/>
      </w:r>
      <w:r>
        <w:t xml:space="preserve"> Podsjećanja radi, stope ekonomskog rasta u prvom i drugom kvartalu su iznosile 2,2% odnosno 2,4%. Ako se detaljnije posmatra struktura ostvarenog rasta BDP-a vidljivo je da su najznačajniji doprinosi rastu ostvareni u d</w:t>
      </w:r>
      <w:r w:rsidR="001A0B79">
        <w:t>omenu privatne potrošnje 1,2, zatim investicija 0,9</w:t>
      </w:r>
      <w:r>
        <w:t xml:space="preserve"> i pozitivnog vanjs</w:t>
      </w:r>
      <w:r w:rsidR="001A0B79">
        <w:t>kotrgovinskog bilansa od 0,5</w:t>
      </w:r>
      <w:r>
        <w:t xml:space="preserve">, dok je javna potrošnja stagnirala. Posmatrano po zemljama, sve zemlje članice su zabilježile poboljšanje ekonomskog rasta pri čemu su registrirane stope rasta BDP-a u K3 2017. godine u zemljama koji su glavni trgovinski partneri Bosne i Hercegovine iznosile: Slovenija 4,9%, Austrija 3,5%, Hrvatska 3,2%, Njemačka 2,8% i Italija 1,7%. Ako se ovome doda da je tokom posmatranog perioda došlo </w:t>
      </w:r>
    </w:p>
    <w:p w:rsidR="00242990" w:rsidRDefault="00242990" w:rsidP="00242990">
      <w:pPr>
        <w:ind w:left="20" w:right="20"/>
        <w:jc w:val="center"/>
        <w:rPr>
          <w:sz w:val="20"/>
          <w:szCs w:val="20"/>
        </w:rPr>
      </w:pPr>
      <w:r w:rsidRPr="00242990">
        <w:rPr>
          <w:sz w:val="20"/>
          <w:szCs w:val="20"/>
        </w:rPr>
        <w:lastRenderedPageBreak/>
        <w:t>-628-</w:t>
      </w:r>
    </w:p>
    <w:p w:rsidR="00242990" w:rsidRPr="00242990" w:rsidRDefault="00242990" w:rsidP="00242990">
      <w:pPr>
        <w:ind w:left="20" w:right="20"/>
        <w:jc w:val="center"/>
        <w:rPr>
          <w:sz w:val="8"/>
          <w:szCs w:val="8"/>
        </w:rPr>
      </w:pPr>
    </w:p>
    <w:p w:rsidR="00CF0A22" w:rsidRDefault="00CF0A22" w:rsidP="00242990">
      <w:pPr>
        <w:ind w:left="20" w:right="20"/>
        <w:jc w:val="both"/>
      </w:pPr>
      <w:r>
        <w:t xml:space="preserve">do povećanja ekonomske aktivnosti u Srbiji od 2,1%, može se zaključiti </w:t>
      </w:r>
      <w:r w:rsidR="00242990">
        <w:pgNum/>
      </w:r>
      <w:r w:rsidR="00242990">
        <w:t>ecto</w:t>
      </w:r>
      <w:r>
        <w:t xml:space="preserve"> ova dešavanja u okviru glavnih trgovinskih partnera predstavljala glavnu </w:t>
      </w:r>
      <w:r w:rsidR="00242990">
        <w:pgNum/>
      </w:r>
      <w:r w:rsidR="00242990">
        <w:t>ector</w:t>
      </w:r>
      <w:r w:rsidR="00242990">
        <w:pgNum/>
      </w:r>
      <w:r w:rsidR="00242990">
        <w:pgNum/>
      </w:r>
      <w:r w:rsidR="00242990">
        <w:t>ant</w:t>
      </w:r>
      <w:r>
        <w:t xml:space="preserve"> ekonomskog rasta koji je Bosna </w:t>
      </w:r>
      <w:r w:rsidR="00E60AC5">
        <w:t>i</w:t>
      </w:r>
      <w:r>
        <w:t xml:space="preserve"> Hercegovina ostvarila u trećem kvartalu 2017. </w:t>
      </w:r>
      <w:r w:rsidR="00E60AC5">
        <w:t>g</w:t>
      </w:r>
      <w:r>
        <w:t>odine.</w:t>
      </w:r>
    </w:p>
    <w:p w:rsidR="00CF0A22" w:rsidRDefault="00CF0A22" w:rsidP="001A0B79">
      <w:pPr>
        <w:ind w:left="20" w:right="20" w:firstLine="700"/>
        <w:jc w:val="both"/>
      </w:pPr>
      <w:r>
        <w:t xml:space="preserve">U nedostatku zvaničnog saopštenja nacionalnih računa, a na osnovu raspoloživih kratkoročnih indikatora ekonomskih dešavanja za treći kvartal 2017. </w:t>
      </w:r>
      <w:r w:rsidR="00E60AC5">
        <w:t>g</w:t>
      </w:r>
      <w:r>
        <w:t xml:space="preserve">odine čini se </w:t>
      </w:r>
      <w:r w:rsidR="00242990">
        <w:pgNum/>
      </w:r>
      <w:r w:rsidR="00242990">
        <w:t>ecto</w:t>
      </w:r>
      <w:r>
        <w:t xml:space="preserve"> glavni nosioci rasta bili privatna potrošnja </w:t>
      </w:r>
      <w:r w:rsidR="00E60AC5">
        <w:t>i</w:t>
      </w:r>
      <w:r>
        <w:t xml:space="preserve"> vanjski </w:t>
      </w:r>
      <w:r w:rsidR="00242990">
        <w:pgNum/>
      </w:r>
      <w:r w:rsidR="00242990">
        <w:t>ector</w:t>
      </w:r>
      <w:r>
        <w:t xml:space="preserve">, dok je uticaj investicija bio manje izražen. Povećanje broja zaposlenih od oko 2,5%, povećanje novčanih priliva iz inostranstva kao </w:t>
      </w:r>
      <w:r w:rsidR="00E60AC5">
        <w:t>i</w:t>
      </w:r>
      <w:r>
        <w:t xml:space="preserve"> porast kreditnih plasmana vjerovatno su se odrazili na povećanje raspoloživog dohotka stanovništva što je rezultiralo povećanjem </w:t>
      </w:r>
      <w:r w:rsidR="00242990">
        <w:pgNum/>
      </w:r>
      <w:r w:rsidR="00242990">
        <w:t>ector</w:t>
      </w:r>
      <w:r w:rsidR="00242990">
        <w:pgNum/>
      </w:r>
      <w:r>
        <w:t xml:space="preserve"> potrošnje. Ovo na neki način potvrđuje </w:t>
      </w:r>
      <w:r w:rsidR="00E60AC5">
        <w:t>i</w:t>
      </w:r>
      <w:r>
        <w:t xml:space="preserve"> podatak da je tokom navedenog perioda došlo do povećanja uvoza roba široke potrošnje </w:t>
      </w:r>
      <w:r w:rsidR="00E60AC5">
        <w:t>i</w:t>
      </w:r>
      <w:r>
        <w:t xml:space="preserve"> povećanja prometa u maloprodaji od oko 5%, dok su neto poreski</w:t>
      </w:r>
      <w:r w:rsidR="001A0B79">
        <w:t xml:space="preserve"> prihodi od PDV uvećani za 6,1%</w:t>
      </w:r>
      <w:r>
        <w:t xml:space="preserve">. </w:t>
      </w:r>
      <w:r w:rsidR="00E60AC5">
        <w:t>i</w:t>
      </w:r>
      <w:r>
        <w:t xml:space="preserve"> dok je privatna potrošnja predstavljala glavni generator rasta ukupne potrošnje odnosno BDP-a, s druge strane usljed procesa fiskalne konsolidacije </w:t>
      </w:r>
      <w:r w:rsidR="00E60AC5">
        <w:t>i</w:t>
      </w:r>
      <w:r>
        <w:t xml:space="preserve"> povećanja obaveza servisiranja obaveza vanjskog duga javna potrošnja je najvjerovatnije stagnirala </w:t>
      </w:r>
      <w:r w:rsidR="00E60AC5">
        <w:t>i</w:t>
      </w:r>
      <w:r>
        <w:t xml:space="preserve"> imala neutralan efekt na ekonomski rast tokom posmatranog perioda.</w:t>
      </w:r>
    </w:p>
    <w:p w:rsidR="0072130D" w:rsidRPr="006C52BF" w:rsidRDefault="00CF0A22" w:rsidP="001A0B79">
      <w:pPr>
        <w:ind w:left="20" w:right="20" w:firstLine="700"/>
        <w:jc w:val="both"/>
        <w:rPr>
          <w:b/>
          <w:color w:val="FF0000"/>
          <w:lang w:val="pl-PL"/>
        </w:rPr>
      </w:pPr>
      <w:r>
        <w:t xml:space="preserve">S druge strane, </w:t>
      </w:r>
      <w:r w:rsidR="00242990">
        <w:pgNum/>
      </w:r>
      <w:r w:rsidR="00242990">
        <w:t>ector</w:t>
      </w:r>
      <w:r w:rsidR="00242990">
        <w:pgNum/>
      </w:r>
      <w:r>
        <w:t xml:space="preserve"> ekonomskog oporavka u domenu investicija još uvijek zaostaje za drugim agregatima. Drugim riječima, nivo investicija u Bosni </w:t>
      </w:r>
      <w:r w:rsidR="00E60AC5">
        <w:t xml:space="preserve">i </w:t>
      </w:r>
      <w:r>
        <w:t xml:space="preserve">Hercegovini kako privatnih tako </w:t>
      </w:r>
      <w:r w:rsidR="00E60AC5">
        <w:t>i</w:t>
      </w:r>
      <w:r>
        <w:t xml:space="preserve"> javnih nije na željenom nivou </w:t>
      </w:r>
      <w:r w:rsidR="00E60AC5">
        <w:t>i</w:t>
      </w:r>
      <w:r>
        <w:t xml:space="preserve"> tek je dostigao predkrizni period. Što se tiče 2017. </w:t>
      </w:r>
      <w:r w:rsidR="00E60AC5">
        <w:t>g</w:t>
      </w:r>
      <w:r>
        <w:t xml:space="preserve">odine, čini se da je doprinos investicija bio zanemariv što potvrđuju slabi pokazatelji u sektoru građevinarsta, kao </w:t>
      </w:r>
      <w:r w:rsidR="00E60AC5">
        <w:t>i</w:t>
      </w:r>
      <w:r>
        <w:t xml:space="preserve"> ne tako impresivan rast uvoza kapitalnih proizvoda. U okviru investicija vrijedi istaći da je Bosna </w:t>
      </w:r>
      <w:r w:rsidR="00E60AC5">
        <w:t>i</w:t>
      </w:r>
      <w:r>
        <w:t xml:space="preserve"> Hercegovina u dosadašnjem </w:t>
      </w:r>
      <w:r w:rsidR="00242990">
        <w:pgNum/>
      </w:r>
      <w:r w:rsidR="00242990">
        <w:t>ector</w:t>
      </w:r>
      <w:r>
        <w:t xml:space="preserve"> 2017. </w:t>
      </w:r>
      <w:r w:rsidR="00E60AC5">
        <w:t>g</w:t>
      </w:r>
      <w:r>
        <w:t xml:space="preserve">odine zabilježila dvocifrenu stopu rasta priliva direktnih stranih ulaganja, međutim nizak nivo učešća ove vrste ulaganja u ukupnim investicijama odnosno u strukturi BDP-a suštinski ne mijenja ukupnu sliku kada su u pitanju investicije u Bosni </w:t>
      </w:r>
      <w:r w:rsidR="00242990">
        <w:t>I</w:t>
      </w:r>
      <w:r>
        <w:t xml:space="preserve"> Hercegovini u ovoj godini. Kada se posmatra ukupna slika ekonomskog rasta u Bosni </w:t>
      </w:r>
      <w:r w:rsidR="00242990">
        <w:t>I</w:t>
      </w:r>
      <w:r>
        <w:t xml:space="preserve"> Hercegovine u 2017. </w:t>
      </w:r>
      <w:r w:rsidR="00E60AC5">
        <w:t>g</w:t>
      </w:r>
      <w:r>
        <w:t xml:space="preserve">odini čini se da je najznačajniji iskorak napravljen u okviru vanjskog sektora što se ponajviše odnosi na odnosi na </w:t>
      </w:r>
      <w:r w:rsidR="00242990">
        <w:pgNum/>
      </w:r>
      <w:r w:rsidR="00242990">
        <w:t>ecto</w:t>
      </w:r>
      <w:r>
        <w:t xml:space="preserve"> izvoz </w:t>
      </w:r>
      <w:r w:rsidR="00E60AC5">
        <w:t>i</w:t>
      </w:r>
      <w:r>
        <w:t xml:space="preserve"> izvozno orijentirane grane pr</w:t>
      </w:r>
      <w:r w:rsidR="008A7581">
        <w:t xml:space="preserve">erađivačke industrije. Tako Bosna </w:t>
      </w:r>
      <w:r w:rsidR="00E60AC5">
        <w:t>i</w:t>
      </w:r>
      <w:r w:rsidR="008A7581">
        <w:t xml:space="preserve"> Hercegovina, </w:t>
      </w:r>
      <w:r>
        <w:t>zahvaljujući pojačanoj izvoznoj</w:t>
      </w:r>
      <w:r w:rsidR="008A7581">
        <w:t xml:space="preserve"> </w:t>
      </w:r>
      <w:r>
        <w:t xml:space="preserve">tražnji </w:t>
      </w:r>
      <w:r w:rsidR="00E60AC5">
        <w:t>i</w:t>
      </w:r>
      <w:r>
        <w:t xml:space="preserve"> povećanju cijena pojedinih izvoznih proizvoda</w:t>
      </w:r>
      <w:r w:rsidR="008A7581">
        <w:t>,</w:t>
      </w:r>
      <w:r>
        <w:t xml:space="preserve"> tokom cijele godine bilježi dvocifreni rast robnog izvoza (devetomjesečni rast robnog izvoza 17,9%) </w:t>
      </w:r>
      <w:r w:rsidR="00E60AC5">
        <w:t>i</w:t>
      </w:r>
      <w:r>
        <w:t xml:space="preserve"> povećanje proizvodnje u okviru prerađivačke industrije (devetomjesečni porast proizvodnje 4,5%). Posmatrano na nivou trećeg kvartala nominalni rast robnog izvoza dodatno je uvećan </w:t>
      </w:r>
      <w:r w:rsidR="00E60AC5">
        <w:t>i</w:t>
      </w:r>
      <w:r>
        <w:t xml:space="preserve"> iznosio je 22,8% u odnosu na isti kvartal prethodne godine, dok je porast proizvodnje u okviru prerađivačke industrije u istom vremenskom </w:t>
      </w:r>
      <w:r w:rsidR="00242990">
        <w:pgNum/>
      </w:r>
      <w:r w:rsidR="00242990">
        <w:t>ector</w:t>
      </w:r>
      <w:r>
        <w:t xml:space="preserve"> iznosio 8,9%. Ovo intenziviranje ukupne ekonomske aktivnosti u zemlji neminovn</w:t>
      </w:r>
      <w:r w:rsidR="008A7581">
        <w:t xml:space="preserve">o je rezultiralo povećanjem </w:t>
      </w:r>
      <w:r>
        <w:t xml:space="preserve">robnog uvoza od 12,6% </w:t>
      </w:r>
      <w:r w:rsidR="00E60AC5">
        <w:t>i</w:t>
      </w:r>
      <w:r>
        <w:t xml:space="preserve"> robnog </w:t>
      </w:r>
      <w:r w:rsidR="00242990">
        <w:pgNum/>
      </w:r>
      <w:r w:rsidR="00242990">
        <w:t>ector</w:t>
      </w:r>
      <w:r w:rsidR="00242990">
        <w:pgNum/>
      </w:r>
      <w:r>
        <w:t xml:space="preserve"> od 5,3% u nominalnom smislu. Međutim, vrijedi istaći da je tokom cijele godine na međunarodnim tržištima prisutan trend povećanja cijena pojedinih proizvoda, pri čemu su najznačajnija povećanja registrirana u okviru metala </w:t>
      </w:r>
      <w:r w:rsidR="00242990">
        <w:t>I</w:t>
      </w:r>
      <w:r>
        <w:t xml:space="preserve"> energenata. Tako je prema raspoloživim podacima</w:t>
      </w:r>
      <w:r w:rsidR="008A7581">
        <w:t xml:space="preserve"> </w:t>
      </w:r>
      <w:r>
        <w:t xml:space="preserve">za prvih 9 mjeseci 2017. </w:t>
      </w:r>
      <w:r w:rsidR="00E60AC5">
        <w:t>g</w:t>
      </w:r>
      <w:r>
        <w:t>odine povećanje izvoznih cijena iznosilo 4,9%, dok cu cijene uvoznih proizvoda uvećane za 5,7%.</w:t>
      </w:r>
      <w:r>
        <w:rPr>
          <w:vertAlign w:val="superscript"/>
        </w:rPr>
        <w:footnoteReference w:id="4"/>
      </w:r>
      <w:r>
        <w:t xml:space="preserve"> Imajući u vidu prisustvo cjenovnog efekta</w:t>
      </w:r>
      <w:r w:rsidR="008A7581">
        <w:t>,</w:t>
      </w:r>
      <w:r>
        <w:t xml:space="preserve"> </w:t>
      </w:r>
      <w:r w:rsidR="00E60AC5">
        <w:t>i</w:t>
      </w:r>
      <w:r>
        <w:t xml:space="preserve"> činjenicu da je trgovinski bilans u realnom smislu smanjen za 2%, te povećanje izvoza usluga </w:t>
      </w:r>
      <w:r w:rsidR="00E60AC5">
        <w:t>i</w:t>
      </w:r>
      <w:r>
        <w:t xml:space="preserve"> pozitivan trend priliva iz inostranstva može se zaključiti da je vanjski </w:t>
      </w:r>
      <w:r w:rsidR="00242990">
        <w:pgNum/>
      </w:r>
      <w:r w:rsidR="00242990">
        <w:t>ector</w:t>
      </w:r>
      <w:r>
        <w:t xml:space="preserve"> bio ključni generator ekonomskog rasta u 2017. </w:t>
      </w:r>
      <w:r w:rsidR="00E60AC5">
        <w:t>g</w:t>
      </w:r>
      <w:r>
        <w:t xml:space="preserve">odini, što se naročito može reći za treći kvartal 2017. </w:t>
      </w:r>
      <w:r w:rsidR="00812FA2">
        <w:t>g</w:t>
      </w:r>
      <w:r>
        <w:t>odine</w:t>
      </w:r>
      <w:r w:rsidR="00812FA2">
        <w:t>.</w:t>
      </w:r>
    </w:p>
    <w:p w:rsidR="00CF0A22" w:rsidRDefault="00CF0A22" w:rsidP="0089333A">
      <w:pPr>
        <w:jc w:val="both"/>
        <w:rPr>
          <w:b/>
          <w:lang w:val="pl-PL"/>
        </w:rPr>
      </w:pPr>
    </w:p>
    <w:p w:rsidR="00CF0A22" w:rsidRDefault="00CF0A22" w:rsidP="0089333A">
      <w:pPr>
        <w:jc w:val="both"/>
        <w:rPr>
          <w:b/>
          <w:lang w:val="pl-PL"/>
        </w:rPr>
      </w:pPr>
    </w:p>
    <w:p w:rsidR="00CF0A22" w:rsidRDefault="00CF0A22" w:rsidP="0089333A">
      <w:pPr>
        <w:jc w:val="both"/>
        <w:rPr>
          <w:b/>
          <w:lang w:val="pl-PL"/>
        </w:rPr>
      </w:pPr>
    </w:p>
    <w:p w:rsidR="00242990" w:rsidRDefault="00242990" w:rsidP="00242990">
      <w:pPr>
        <w:jc w:val="center"/>
        <w:rPr>
          <w:sz w:val="20"/>
          <w:szCs w:val="20"/>
          <w:lang w:val="pl-PL"/>
        </w:rPr>
      </w:pPr>
    </w:p>
    <w:p w:rsidR="00CF0A22" w:rsidRPr="00242990" w:rsidRDefault="00242990" w:rsidP="00242990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-</w:t>
      </w:r>
      <w:r w:rsidRPr="00242990">
        <w:rPr>
          <w:sz w:val="20"/>
          <w:szCs w:val="20"/>
          <w:lang w:val="pl-PL"/>
        </w:rPr>
        <w:t>629-</w:t>
      </w:r>
    </w:p>
    <w:p w:rsidR="00CF0A22" w:rsidRDefault="00CF0A22" w:rsidP="0089333A">
      <w:pPr>
        <w:jc w:val="both"/>
        <w:rPr>
          <w:b/>
          <w:lang w:val="pl-PL"/>
        </w:rPr>
      </w:pPr>
    </w:p>
    <w:p w:rsidR="0089333A" w:rsidRPr="004671B3" w:rsidRDefault="0089333A" w:rsidP="0089333A">
      <w:pPr>
        <w:jc w:val="both"/>
        <w:rPr>
          <w:b/>
          <w:bCs/>
          <w:lang w:val="bs-Latn-BA"/>
        </w:rPr>
      </w:pPr>
      <w:r w:rsidRPr="004671B3">
        <w:rPr>
          <w:b/>
          <w:lang w:val="pl-PL"/>
        </w:rPr>
        <w:t xml:space="preserve">Odjeljak </w:t>
      </w:r>
      <w:r w:rsidR="00590EDA">
        <w:rPr>
          <w:b/>
          <w:lang w:val="pl-PL"/>
        </w:rPr>
        <w:t>C</w:t>
      </w:r>
      <w:r w:rsidR="00736686" w:rsidRPr="004671B3">
        <w:rPr>
          <w:b/>
          <w:lang w:val="pl-PL"/>
        </w:rPr>
        <w:t>. Projekcije bruto društ</w:t>
      </w:r>
      <w:r w:rsidRPr="004671B3">
        <w:rPr>
          <w:b/>
          <w:lang w:val="pl-PL"/>
        </w:rPr>
        <w:t>v</w:t>
      </w:r>
      <w:r w:rsidR="00736686" w:rsidRPr="004671B3">
        <w:rPr>
          <w:b/>
          <w:lang w:val="pl-PL"/>
        </w:rPr>
        <w:t>e</w:t>
      </w:r>
      <w:r w:rsidRPr="004671B3">
        <w:rPr>
          <w:b/>
          <w:lang w:val="pl-PL"/>
        </w:rPr>
        <w:t>nog proizvoda (BDP)</w:t>
      </w:r>
    </w:p>
    <w:p w:rsidR="00BF6F1F" w:rsidRDefault="00BF6F1F" w:rsidP="00BF6F1F">
      <w:pPr>
        <w:jc w:val="both"/>
        <w:rPr>
          <w:rFonts w:ascii="Arial" w:hAnsi="Arial" w:cs="Arial"/>
          <w:spacing w:val="-2"/>
          <w:lang w:val="pl-PL"/>
        </w:rPr>
      </w:pPr>
    </w:p>
    <w:p w:rsidR="00E10AAF" w:rsidRDefault="00B302F0" w:rsidP="00CF3C17">
      <w:pPr>
        <w:ind w:left="119" w:right="119" w:firstLine="601"/>
        <w:jc w:val="both"/>
        <w:rPr>
          <w:rStyle w:val="BodytextExact"/>
          <w:sz w:val="24"/>
          <w:szCs w:val="24"/>
        </w:rPr>
      </w:pPr>
      <w:r w:rsidRPr="00B302F0">
        <w:rPr>
          <w:rStyle w:val="BodytextExact"/>
          <w:sz w:val="24"/>
          <w:szCs w:val="24"/>
        </w:rPr>
        <w:t>U 2018. godini referentne međunarodne institucije nagovještavaju nastavak trenda pozitivnih ekonomskih prilika kako u svijetu, tako i u neposrednom eksternom</w:t>
      </w:r>
      <w:r>
        <w:rPr>
          <w:rStyle w:val="BodytextExact"/>
          <w:sz w:val="24"/>
          <w:szCs w:val="24"/>
        </w:rPr>
        <w:t xml:space="preserve"> okruženju</w:t>
      </w:r>
      <w:r w:rsidRPr="00B302F0">
        <w:rPr>
          <w:rStyle w:val="BodytextExact"/>
          <w:sz w:val="24"/>
          <w:szCs w:val="24"/>
        </w:rPr>
        <w:t xml:space="preserve">. Ovaj nastavak povoljnog eksternog ambijenta uz pojačani doprinos internih dinamika bi trebao rezultirati dodatnim jačanjem ekonomskog rasta u Bosni i Hercegovini. Prema projekciji </w:t>
      </w:r>
      <w:r w:rsidR="00631AA1">
        <w:rPr>
          <w:rStyle w:val="BodytextExact"/>
          <w:sz w:val="24"/>
          <w:szCs w:val="24"/>
        </w:rPr>
        <w:t>Direkcije za ekonomsko planiranje (DEP),</w:t>
      </w:r>
      <w:r w:rsidRPr="00B302F0">
        <w:rPr>
          <w:rStyle w:val="BodytextExact"/>
          <w:sz w:val="24"/>
          <w:szCs w:val="24"/>
        </w:rPr>
        <w:t xml:space="preserve"> očekuje se da bi stopa realnog rasta </w:t>
      </w:r>
      <w:r w:rsidR="00631AA1">
        <w:rPr>
          <w:rStyle w:val="BodytextExact"/>
          <w:sz w:val="24"/>
          <w:szCs w:val="24"/>
        </w:rPr>
        <w:t>bruto društevenog proi</w:t>
      </w:r>
      <w:r w:rsidR="00CF3C17">
        <w:rPr>
          <w:rStyle w:val="BodytextExact"/>
          <w:sz w:val="24"/>
          <w:szCs w:val="24"/>
        </w:rPr>
        <w:t>z</w:t>
      </w:r>
      <w:r w:rsidR="00631AA1">
        <w:rPr>
          <w:rStyle w:val="BodytextExact"/>
          <w:sz w:val="24"/>
          <w:szCs w:val="24"/>
        </w:rPr>
        <w:t>voda</w:t>
      </w:r>
      <w:r w:rsidR="00CF3C17">
        <w:rPr>
          <w:rStyle w:val="BodytextExact"/>
          <w:sz w:val="24"/>
          <w:szCs w:val="24"/>
        </w:rPr>
        <w:t xml:space="preserve"> (BDP)</w:t>
      </w:r>
      <w:r w:rsidRPr="00B302F0">
        <w:rPr>
          <w:rStyle w:val="BodytextExact"/>
          <w:sz w:val="24"/>
          <w:szCs w:val="24"/>
        </w:rPr>
        <w:t xml:space="preserve"> u 2018. godini mogla iznositi 3,2%.</w:t>
      </w:r>
    </w:p>
    <w:p w:rsidR="00B302F0" w:rsidRPr="00B302F0" w:rsidRDefault="00B302F0" w:rsidP="00E10AAF">
      <w:pPr>
        <w:ind w:left="119" w:right="119" w:firstLine="601"/>
        <w:jc w:val="both"/>
      </w:pPr>
      <w:r w:rsidRPr="00B302F0">
        <w:rPr>
          <w:rStyle w:val="BodytextExact"/>
          <w:sz w:val="24"/>
          <w:szCs w:val="24"/>
        </w:rPr>
        <w:t>Pretpostavlja se da bi ključni oslonac ekonomskog rasta u 2018. godini trebala predstavljati domaća tražnja. Naime, povećanje ukupne ekonomske aktivnosti u zemlji uz očekivano povećanja industrijske proizvodnje i g</w:t>
      </w:r>
      <w:r w:rsidR="00E10AAF">
        <w:rPr>
          <w:rStyle w:val="BodytextExact"/>
          <w:sz w:val="24"/>
          <w:szCs w:val="24"/>
        </w:rPr>
        <w:t>r</w:t>
      </w:r>
      <w:r w:rsidRPr="00B302F0">
        <w:rPr>
          <w:rStyle w:val="BodytextExact"/>
          <w:sz w:val="24"/>
          <w:szCs w:val="24"/>
        </w:rPr>
        <w:t>ađevinskih radova praćeno povećanjem broja zaposlenih i prihoda od izvoza trebalo bi rezultirati povećanjem raspoloživog dohotka građana a samim tim i povećanjem privatne potrošnje koja</w:t>
      </w:r>
      <w:r w:rsidR="00CF3C17">
        <w:rPr>
          <w:rStyle w:val="BodytextExact"/>
          <w:sz w:val="24"/>
          <w:szCs w:val="24"/>
        </w:rPr>
        <w:t xml:space="preserve"> će kao i prethodnih godina pred</w:t>
      </w:r>
      <w:r w:rsidRPr="00B302F0">
        <w:rPr>
          <w:rStyle w:val="BodytextExact"/>
          <w:sz w:val="24"/>
          <w:szCs w:val="24"/>
        </w:rPr>
        <w:t>st</w:t>
      </w:r>
      <w:r w:rsidR="00CF3C17">
        <w:rPr>
          <w:rStyle w:val="BodytextExact"/>
          <w:sz w:val="24"/>
          <w:szCs w:val="24"/>
        </w:rPr>
        <w:t>a</w:t>
      </w:r>
      <w:r w:rsidRPr="00B302F0">
        <w:rPr>
          <w:rStyle w:val="BodytextExact"/>
          <w:sz w:val="24"/>
          <w:szCs w:val="24"/>
        </w:rPr>
        <w:t xml:space="preserve">vljati ključni oslonac ekonomskog rasta. S druge strane, imajući u vidu visok nivo javne potrošnje u okviru BDP-a u </w:t>
      </w:r>
      <w:r w:rsidR="00CF3C17">
        <w:rPr>
          <w:rStyle w:val="BodytextExact"/>
          <w:sz w:val="24"/>
          <w:szCs w:val="24"/>
        </w:rPr>
        <w:t>Bosni i Hercegovini</w:t>
      </w:r>
      <w:r w:rsidRPr="00B302F0">
        <w:rPr>
          <w:rStyle w:val="BodytextExact"/>
          <w:sz w:val="24"/>
          <w:szCs w:val="24"/>
        </w:rPr>
        <w:t xml:space="preserve"> i napore koji se ulažu kroz proces fiskalne konsolidacije u 2018. godini se ne očekuje značajniji rast javne potrošnje.</w:t>
      </w:r>
    </w:p>
    <w:p w:rsidR="00B302F0" w:rsidRPr="00B302F0" w:rsidRDefault="00B302F0" w:rsidP="00CF3C17">
      <w:pPr>
        <w:ind w:left="119" w:right="119" w:firstLine="601"/>
        <w:jc w:val="both"/>
      </w:pPr>
      <w:r w:rsidRPr="00B302F0">
        <w:rPr>
          <w:rStyle w:val="BodytextExact"/>
          <w:sz w:val="24"/>
          <w:szCs w:val="24"/>
        </w:rPr>
        <w:t>Investicije bi u 2018.</w:t>
      </w:r>
      <w:r w:rsidR="00CF3C17">
        <w:rPr>
          <w:rStyle w:val="BodytextExact"/>
          <w:sz w:val="24"/>
          <w:szCs w:val="24"/>
        </w:rPr>
        <w:t xml:space="preserve"> godini</w:t>
      </w:r>
      <w:r w:rsidRPr="00B302F0">
        <w:rPr>
          <w:rStyle w:val="BodytextExact"/>
          <w:sz w:val="24"/>
          <w:szCs w:val="24"/>
        </w:rPr>
        <w:t xml:space="preserve"> za razliku od prethodnih</w:t>
      </w:r>
      <w:r w:rsidR="00CF3C17">
        <w:rPr>
          <w:rStyle w:val="BodytextExact"/>
          <w:sz w:val="24"/>
          <w:szCs w:val="24"/>
        </w:rPr>
        <w:t>,</w:t>
      </w:r>
      <w:r w:rsidRPr="00B302F0">
        <w:rPr>
          <w:rStyle w:val="BodytextExact"/>
          <w:sz w:val="24"/>
          <w:szCs w:val="24"/>
        </w:rPr>
        <w:t xml:space="preserve"> mogle imati značajniji rast a samim tim i veći doprinos u očekivanom rastu BDP-a u 2018. godini. Tokom 2018. godine očekuje se povećanje privatnih i naročito javnih investicija. Pobol</w:t>
      </w:r>
      <w:r w:rsidR="00CF3C17">
        <w:rPr>
          <w:rStyle w:val="BodytextExact"/>
          <w:sz w:val="24"/>
          <w:szCs w:val="24"/>
        </w:rPr>
        <w:t>jšanje poslovnog ambijenta kro</w:t>
      </w:r>
      <w:r w:rsidRPr="00B302F0">
        <w:rPr>
          <w:rStyle w:val="BodytextExact"/>
          <w:sz w:val="24"/>
          <w:szCs w:val="24"/>
        </w:rPr>
        <w:t xml:space="preserve">z reformske procese bi mogle povećati interes kako domaćih tako i stranih investitora za investiciona ulaganja u BiH. S druge strane, deblokada aranžmana sa MMF-om usljed usvajanja </w:t>
      </w:r>
      <w:r w:rsidR="00CF3C17">
        <w:rPr>
          <w:rStyle w:val="BodytextExact"/>
          <w:sz w:val="24"/>
          <w:szCs w:val="24"/>
        </w:rPr>
        <w:t>Z</w:t>
      </w:r>
      <w:r w:rsidRPr="00B302F0">
        <w:rPr>
          <w:rStyle w:val="BodytextExact"/>
          <w:sz w:val="24"/>
          <w:szCs w:val="24"/>
        </w:rPr>
        <w:t>akona o akcizama omogućio je Bosni i Hercegovini povlačenje kreditnih sredstava međunarodnih finansijskih institucija (EBRD,</w:t>
      </w:r>
      <w:r w:rsidR="00CF3C17">
        <w:rPr>
          <w:rStyle w:val="BodytextExact"/>
          <w:sz w:val="24"/>
          <w:szCs w:val="24"/>
        </w:rPr>
        <w:t xml:space="preserve"> </w:t>
      </w:r>
      <w:r w:rsidRPr="00B302F0">
        <w:rPr>
          <w:rStyle w:val="BodytextExact"/>
          <w:sz w:val="24"/>
          <w:szCs w:val="24"/>
        </w:rPr>
        <w:t>EIB) koji su prošlosti predstavljali glavni izvor finansiranja javnih in</w:t>
      </w:r>
      <w:r w:rsidR="00CF3C17">
        <w:rPr>
          <w:rStyle w:val="BodytextExact"/>
          <w:sz w:val="24"/>
          <w:szCs w:val="24"/>
        </w:rPr>
        <w:t>vesticija. Ova sredstava uz naj</w:t>
      </w:r>
      <w:r w:rsidRPr="00B302F0">
        <w:rPr>
          <w:rStyle w:val="BodytextExact"/>
          <w:sz w:val="24"/>
          <w:szCs w:val="24"/>
        </w:rPr>
        <w:t>ave povećanja investicija iz budžeta sa svih nivoa vlasti nesumnjivo će podstaknuti ekonomski rast u</w:t>
      </w:r>
      <w:r w:rsidR="00CF3C17" w:rsidRPr="00CF3C17">
        <w:rPr>
          <w:rStyle w:val="BodytextExact"/>
          <w:sz w:val="24"/>
          <w:szCs w:val="24"/>
        </w:rPr>
        <w:t xml:space="preserve"> </w:t>
      </w:r>
      <w:r w:rsidR="00CF3C17" w:rsidRPr="00B302F0">
        <w:rPr>
          <w:rStyle w:val="BodytextExact"/>
          <w:sz w:val="24"/>
          <w:szCs w:val="24"/>
        </w:rPr>
        <w:t>Bosni i Hercegovini</w:t>
      </w:r>
      <w:r w:rsidRPr="00B302F0">
        <w:rPr>
          <w:rStyle w:val="BodytextExact"/>
          <w:sz w:val="24"/>
          <w:szCs w:val="24"/>
        </w:rPr>
        <w:t>.</w:t>
      </w:r>
    </w:p>
    <w:p w:rsidR="00B302F0" w:rsidRDefault="00B302F0" w:rsidP="00CF3C17">
      <w:pPr>
        <w:ind w:left="119" w:right="119" w:firstLine="601"/>
        <w:jc w:val="both"/>
        <w:rPr>
          <w:rStyle w:val="BodytextExact"/>
          <w:sz w:val="24"/>
          <w:szCs w:val="24"/>
        </w:rPr>
      </w:pPr>
      <w:r w:rsidRPr="00B302F0">
        <w:rPr>
          <w:rStyle w:val="BodytextExact"/>
          <w:sz w:val="24"/>
          <w:szCs w:val="24"/>
        </w:rPr>
        <w:t xml:space="preserve">Povoljno eksterno okruženje koje bi se trebalo manifestovati kroz pojačanje izvozne tražnje u 2018. godini trebalo bi omogućiti nastavak visokog nivoa vanjskotrgovinske razmjene u </w:t>
      </w:r>
      <w:r w:rsidR="00CF3C17" w:rsidRPr="00B302F0">
        <w:rPr>
          <w:rStyle w:val="BodytextExact"/>
          <w:sz w:val="24"/>
          <w:szCs w:val="24"/>
        </w:rPr>
        <w:t>Bosni i Hercegovini</w:t>
      </w:r>
      <w:r w:rsidRPr="00B302F0">
        <w:rPr>
          <w:rStyle w:val="BodytextExact"/>
          <w:sz w:val="24"/>
          <w:szCs w:val="24"/>
        </w:rPr>
        <w:t>. Tako se u 2018. godini u Bosni i Hercegovini očekuje povećanje izvoza od 7,3% u realnom smislu. S druge strane, jačanje ekonomske aktivnosti u zemlji uz očekivani rast izvoza rezultirat će realnim povećanjem uvoza od 4,8 % u odnosu na prethodnu godinu. Usljed ovog trenda kretanja izvoza i uvoza</w:t>
      </w:r>
      <w:r w:rsidR="00CF3C17">
        <w:rPr>
          <w:rStyle w:val="BodytextExact"/>
          <w:sz w:val="24"/>
          <w:szCs w:val="24"/>
        </w:rPr>
        <w:t>,</w:t>
      </w:r>
      <w:r w:rsidRPr="00B302F0">
        <w:rPr>
          <w:rStyle w:val="BodytextExact"/>
          <w:sz w:val="24"/>
          <w:szCs w:val="24"/>
        </w:rPr>
        <w:t xml:space="preserve"> u 2018. godine se očekuje stagnacija vanjskotrgovinskog bilansa tako da će vanjskotrgovinski bilans imati neutralan doprinos na očekivani ekonomski rast u </w:t>
      </w:r>
      <w:r w:rsidR="00CF3C17" w:rsidRPr="00B302F0">
        <w:rPr>
          <w:rStyle w:val="BodytextExact"/>
          <w:sz w:val="24"/>
          <w:szCs w:val="24"/>
        </w:rPr>
        <w:t>Bosni i Hercegovini</w:t>
      </w:r>
      <w:r w:rsidRPr="00B302F0">
        <w:rPr>
          <w:rStyle w:val="BodytextExact"/>
          <w:sz w:val="24"/>
          <w:szCs w:val="24"/>
        </w:rPr>
        <w:t xml:space="preserve"> u 2018. godini.</w:t>
      </w:r>
    </w:p>
    <w:p w:rsidR="00D3723D" w:rsidRDefault="00D3723D" w:rsidP="00D3723D">
      <w:pPr>
        <w:ind w:left="40" w:right="40" w:firstLine="680"/>
        <w:jc w:val="both"/>
      </w:pPr>
      <w:r>
        <w:t>U periodu 2019</w:t>
      </w:r>
      <w:r w:rsidR="00366A19">
        <w:t xml:space="preserve">. </w:t>
      </w:r>
      <w:r>
        <w:t>-</w:t>
      </w:r>
      <w:r w:rsidR="00366A19">
        <w:t xml:space="preserve"> </w:t>
      </w:r>
      <w:r>
        <w:t>2021. godina pod pretpostavkom nastavka stabilnog eksternog okruženja u ovom srednjoročnom vremskom okviru u Bosni i Heregovini se očekuje nastavak ekonomskog rasta po prosječnim stopama rasta od 3,6% na godišnjem nivou. Tokom ovog perioda očekuje se da domaća tražnja kroz privatnu potrošnju i investicije bude glavni oslonac ekonomskog rasta. S druge strane, tokom posmatranog perioda očekuje se stagnacija javne potrošnje što ć</w:t>
      </w:r>
      <w:r w:rsidRPr="00D3723D">
        <w:t>e rezultirati smanjenjem njenog učešća u strukturi BDP-a odnosno njenog doprinosa u ekonomskom rastu Bosne i Hercegovine. Također, reformske mjere koje su usmjerene ka poboljšanju poslovnog ambijenta u zemlji trebale bi rezultirati većim investicionim ulaganjima (domaćim i inostranim) što bi ojačalo privatni sektor, zaposlenost i u konačnici bh. vanjskotrgovinsku robnu razmjenu sa svijetom.</w:t>
      </w:r>
    </w:p>
    <w:p w:rsidR="00D3723D" w:rsidRPr="00B302F0" w:rsidRDefault="00D3723D" w:rsidP="00CF3C17">
      <w:pPr>
        <w:ind w:left="119" w:right="119" w:firstLine="601"/>
        <w:jc w:val="both"/>
      </w:pPr>
    </w:p>
    <w:p w:rsidR="000428F6" w:rsidRPr="00242990" w:rsidRDefault="00242990" w:rsidP="00242990">
      <w:pPr>
        <w:jc w:val="center"/>
        <w:rPr>
          <w:spacing w:val="-2"/>
          <w:sz w:val="20"/>
          <w:szCs w:val="20"/>
          <w:lang w:val="pl-PL"/>
        </w:rPr>
      </w:pPr>
      <w:r w:rsidRPr="00242990">
        <w:rPr>
          <w:spacing w:val="-2"/>
          <w:sz w:val="20"/>
          <w:szCs w:val="20"/>
          <w:lang w:val="pl-PL"/>
        </w:rPr>
        <w:lastRenderedPageBreak/>
        <w:t>-630-</w:t>
      </w:r>
    </w:p>
    <w:p w:rsidR="000428F6" w:rsidRDefault="000428F6" w:rsidP="000428F6">
      <w:pPr>
        <w:jc w:val="both"/>
        <w:rPr>
          <w:b/>
          <w:spacing w:val="-2"/>
          <w:lang w:val="pl-PL"/>
        </w:rPr>
      </w:pPr>
      <w:r w:rsidRPr="001261D4">
        <w:rPr>
          <w:b/>
          <w:spacing w:val="-2"/>
          <w:lang w:val="pl-PL"/>
        </w:rPr>
        <w:t>Tabela 1. Makroekon</w:t>
      </w:r>
      <w:r w:rsidR="00CF3C17">
        <w:rPr>
          <w:b/>
          <w:spacing w:val="-2"/>
          <w:lang w:val="pl-PL"/>
        </w:rPr>
        <w:t>omski pokazatelji za period 2019.-2021</w:t>
      </w:r>
      <w:r>
        <w:rPr>
          <w:b/>
          <w:spacing w:val="-2"/>
          <w:lang w:val="pl-PL"/>
        </w:rPr>
        <w:t>. godine</w:t>
      </w:r>
    </w:p>
    <w:p w:rsidR="00BF6F1F" w:rsidRDefault="00BF6F1F" w:rsidP="000428F6">
      <w:pPr>
        <w:jc w:val="both"/>
        <w:rPr>
          <w:lang w:val="bs-Latn-BA"/>
        </w:rPr>
      </w:pPr>
    </w:p>
    <w:tbl>
      <w:tblPr>
        <w:tblW w:w="9980" w:type="dxa"/>
        <w:jc w:val="center"/>
        <w:tblInd w:w="100" w:type="dxa"/>
        <w:tblLook w:val="04A0"/>
      </w:tblPr>
      <w:tblGrid>
        <w:gridCol w:w="4641"/>
        <w:gridCol w:w="1049"/>
        <w:gridCol w:w="858"/>
        <w:gridCol w:w="858"/>
        <w:gridCol w:w="858"/>
        <w:gridCol w:w="858"/>
        <w:gridCol w:w="858"/>
      </w:tblGrid>
      <w:tr w:rsidR="00CF3C17" w:rsidRPr="00A16A86" w:rsidTr="00C57EC9">
        <w:trPr>
          <w:trHeight w:val="645"/>
          <w:jc w:val="center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Indikator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Zvanični podaci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Projekcije</w:t>
            </w:r>
          </w:p>
        </w:tc>
      </w:tr>
      <w:tr w:rsidR="00CF3C17" w:rsidRPr="00A16A86" w:rsidTr="00C57EC9">
        <w:trPr>
          <w:trHeight w:val="285"/>
          <w:jc w:val="center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17" w:rsidRPr="00A16A86" w:rsidRDefault="00CF3C17" w:rsidP="00C57EC9">
            <w:pPr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b/>
                <w:bCs/>
                <w:color w:val="000000"/>
                <w:sz w:val="22"/>
                <w:szCs w:val="22"/>
                <w:lang w:val="bs-Latn-BA" w:eastAsia="bs-Latn-BA"/>
              </w:rPr>
              <w:t>2021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Nominalni BDP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30.862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31.826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33.266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34.909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36.685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38.652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Nominalni rast u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5,4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BDP deflator (prethodna godina = 100)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101,7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Realni BDP u mil KM (prethodna godina = 100)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30.531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31.801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32.846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34.435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36.202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37.995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3,6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Inflacija mjerena indeksom potrošačkih cijena u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1,4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Potrošnja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30.042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30.832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31.773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32.793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33.764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34.775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1,4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Vladina potrošnja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6.831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0,1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Privatna potrošnja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23.776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24.466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25.280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26.182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27.041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27.945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1,7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Investicije (bruto) u stalna sredstva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5.189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5.479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7.249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7.904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8,5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Vladine investicije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1.031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1.227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1.472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1.752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17,2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Privatne investicije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4.491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4.716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5.046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5.424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5.777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6.152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6,3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Uvoz 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15.636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17.074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18.162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19.224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20.330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21.521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Nominalni rast u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5,9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3,7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Izvoz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10.588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11.875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13.007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14.061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15.186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16.432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Nominalni rast u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8,2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 xml:space="preserve">Realni rast u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Nacionalna bruto štednja u % BDP-a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18,9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Bilans tekućeg računa u mil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-1.435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-1.455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-1.468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-1.568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-1.673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-1.670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Rast u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-0,1</w:t>
            </w:r>
          </w:p>
        </w:tc>
      </w:tr>
      <w:tr w:rsidR="00CF3C17" w:rsidRPr="00A16A86" w:rsidTr="00C57EC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Bilans tekućeg računa u % BDP-a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17" w:rsidRPr="00A16A86" w:rsidRDefault="00CF3C17" w:rsidP="00C57EC9">
            <w:pPr>
              <w:jc w:val="right"/>
              <w:rPr>
                <w:color w:val="000000"/>
                <w:sz w:val="22"/>
                <w:szCs w:val="22"/>
                <w:lang w:val="bs-Latn-BA" w:eastAsia="bs-Latn-BA"/>
              </w:rPr>
            </w:pPr>
            <w:r w:rsidRPr="00A16A86">
              <w:rPr>
                <w:color w:val="000000"/>
                <w:sz w:val="22"/>
                <w:szCs w:val="22"/>
                <w:lang w:val="bs-Latn-BA" w:eastAsia="bs-Latn-BA"/>
              </w:rPr>
              <w:t>-4,3</w:t>
            </w:r>
          </w:p>
        </w:tc>
      </w:tr>
    </w:tbl>
    <w:p w:rsidR="000428F6" w:rsidRDefault="000428F6" w:rsidP="0089333A">
      <w:pPr>
        <w:jc w:val="both"/>
        <w:rPr>
          <w:b/>
          <w:lang w:val="pl-PL"/>
        </w:rPr>
      </w:pPr>
    </w:p>
    <w:p w:rsidR="00242990" w:rsidRDefault="00590EDA" w:rsidP="00242990">
      <w:pPr>
        <w:jc w:val="both"/>
        <w:rPr>
          <w:b/>
          <w:lang w:val="pl-PL"/>
        </w:rPr>
      </w:pPr>
      <w:r>
        <w:rPr>
          <w:b/>
          <w:lang w:val="pl-PL"/>
        </w:rPr>
        <w:t>Odjeljak D</w:t>
      </w:r>
      <w:r w:rsidR="0089333A">
        <w:rPr>
          <w:b/>
          <w:lang w:val="pl-PL"/>
        </w:rPr>
        <w:t>. Realni sektor</w:t>
      </w:r>
    </w:p>
    <w:p w:rsidR="00242990" w:rsidRPr="00242990" w:rsidRDefault="00242990" w:rsidP="00242990">
      <w:pPr>
        <w:jc w:val="both"/>
        <w:rPr>
          <w:b/>
          <w:sz w:val="16"/>
          <w:szCs w:val="16"/>
          <w:lang w:val="pl-PL"/>
        </w:rPr>
      </w:pPr>
    </w:p>
    <w:p w:rsidR="00D3723D" w:rsidRPr="00242990" w:rsidRDefault="00D3723D" w:rsidP="00242990">
      <w:pPr>
        <w:ind w:firstLine="720"/>
        <w:jc w:val="both"/>
        <w:rPr>
          <w:b/>
          <w:lang w:val="pl-PL"/>
        </w:rPr>
      </w:pPr>
      <w:r>
        <w:t>Tokom 2018. godine povoljna eksterna dešavanja uz očekivano povećanje ukupne ekonomske aktivnosti u zemlji treba</w:t>
      </w:r>
      <w:r w:rsidR="009E2E8F">
        <w:t>li bi rezultirati nastavkom tre</w:t>
      </w:r>
      <w:r>
        <w:t>nda rasta industrijske proizvodnje u Bosni i Hercegovini. Pored prerađivačke industrije gdje izvozna tražnja ima primarnu ulogu, tokom 2018. godine očekuje se i značajniji doprinos sektora za proizvodnju električne energije.</w:t>
      </w:r>
    </w:p>
    <w:p w:rsidR="00242990" w:rsidRDefault="00D3723D" w:rsidP="00242990">
      <w:pPr>
        <w:ind w:left="40" w:right="40" w:firstLine="680"/>
        <w:jc w:val="both"/>
      </w:pPr>
      <w:r>
        <w:t>Naime, pod predpostavkom povoljnijih hidroloških prilika tokom 2018. godine očekuju se bolji rezultati u proizvodnje električne energije, a samim tim i veći doprinos rastu industrijske proizvodnje.</w:t>
      </w:r>
    </w:p>
    <w:p w:rsidR="00242990" w:rsidRDefault="00242990" w:rsidP="00242990">
      <w:pPr>
        <w:ind w:right="40"/>
        <w:jc w:val="center"/>
        <w:rPr>
          <w:sz w:val="20"/>
          <w:szCs w:val="20"/>
        </w:rPr>
      </w:pPr>
    </w:p>
    <w:p w:rsidR="00242990" w:rsidRPr="00242990" w:rsidRDefault="00242990" w:rsidP="00242990">
      <w:pPr>
        <w:ind w:right="40"/>
        <w:jc w:val="center"/>
        <w:rPr>
          <w:sz w:val="20"/>
          <w:szCs w:val="20"/>
        </w:rPr>
      </w:pPr>
      <w:r w:rsidRPr="00242990">
        <w:rPr>
          <w:sz w:val="20"/>
          <w:szCs w:val="20"/>
        </w:rPr>
        <w:lastRenderedPageBreak/>
        <w:t>-631-</w:t>
      </w:r>
    </w:p>
    <w:p w:rsidR="0098171D" w:rsidRDefault="00D3723D" w:rsidP="00D3723D">
      <w:pPr>
        <w:ind w:left="40" w:right="40" w:firstLine="680"/>
        <w:jc w:val="both"/>
      </w:pPr>
      <w:r>
        <w:t>Tako se uz pretpostavku nastavka trenda rasta proizvodnje u prer</w:t>
      </w:r>
      <w:r w:rsidR="00AF58ED">
        <w:t>a</w:t>
      </w:r>
      <w:r>
        <w:t xml:space="preserve">đivačkoj industriji, povećanje proizvodnje električne energije i tradicionalno dobrih rezultata u okviru sektora rudarstva, prema projekcijama DEP-a u Bosni i Hercegovini u 2018. godini može očekivati rast fizičkog obima proizvodnje od preko 5%. </w:t>
      </w:r>
    </w:p>
    <w:p w:rsidR="0078132E" w:rsidRDefault="00D3723D" w:rsidP="0078132E">
      <w:pPr>
        <w:ind w:left="40" w:right="40" w:firstLine="680"/>
        <w:jc w:val="both"/>
      </w:pPr>
      <w:r>
        <w:t>U periodu 2019</w:t>
      </w:r>
      <w:r w:rsidR="00AF58ED">
        <w:t xml:space="preserve">. </w:t>
      </w:r>
      <w:r>
        <w:t>-</w:t>
      </w:r>
      <w:r w:rsidR="00AF58ED">
        <w:t xml:space="preserve"> </w:t>
      </w:r>
      <w:r>
        <w:t xml:space="preserve">2021. godina, u </w:t>
      </w:r>
      <w:r w:rsidR="0078132E">
        <w:t xml:space="preserve">Bosni </w:t>
      </w:r>
      <w:r w:rsidR="00DB0D2D">
        <w:t>i</w:t>
      </w:r>
      <w:r w:rsidR="0078132E">
        <w:t xml:space="preserve"> Hercegovini</w:t>
      </w:r>
      <w:r>
        <w:t xml:space="preserve"> se očekuje osjetniji ekonomski napredak u okviru kojeg bi dešavanja u industrijskoj proizvodnji trebala imati centralnu ulogu</w:t>
      </w:r>
      <w:r w:rsidR="0078132E">
        <w:t>. Pored očekivanih povoljnih ek</w:t>
      </w:r>
      <w:r>
        <w:t>sternih prilika</w:t>
      </w:r>
      <w:r w:rsidR="0078132E">
        <w:t>,</w:t>
      </w:r>
      <w:r>
        <w:t xml:space="preserve"> u ovom srednjoročnom vremenskom okviru se očekuje i značajniji utjecaj internih dinamika u funkciji jačanja industrijske proizvodnje u Bosni i Hercegovini. </w:t>
      </w:r>
    </w:p>
    <w:p w:rsidR="00D3723D" w:rsidRDefault="00D3723D" w:rsidP="0078132E">
      <w:pPr>
        <w:ind w:left="40" w:right="40" w:firstLine="680"/>
        <w:jc w:val="both"/>
      </w:pPr>
      <w:r>
        <w:t>Naime, tokom ovog perioda očekuje se</w:t>
      </w:r>
      <w:r w:rsidR="0078132E">
        <w:t xml:space="preserve"> da bi reformske mjere na unapr</w:t>
      </w:r>
      <w:r>
        <w:t>eđenju poslovnog ambijenta koje provode nadležne institucije u Bosni i Hercegovini trebale polučiti mjerljive rezultate. Poboljšanje poslovnog ambijenta trebalo bi rezultirati povećanjem investicionih ulaganja (domaćih i inostranih), veću iskorištenost postojećih i pokretanje novih kapaciteta, povećanje broja zaposlenih i jačanje konkurentske pozicije bh. proizvođača kako na domaćem tako i na inostranim tržištima. Imajući u vidu sve navedene okolnosti tokom ovog perioda očekivane stope rasta fizičkog obima industrijske proizvodnje prema projekciji DEP-a iznose preko 5% na godišnjem nivou</w:t>
      </w:r>
      <w:r w:rsidR="0078132E">
        <w:t>.</w:t>
      </w:r>
    </w:p>
    <w:p w:rsidR="00DB0D2D" w:rsidRDefault="00DB0D2D" w:rsidP="00DB0D2D">
      <w:pPr>
        <w:ind w:right="23" w:firstLine="720"/>
        <w:jc w:val="both"/>
      </w:pPr>
      <w:r>
        <w:t>Prosječan broj zaposlenih lica u Bosni i Hercegovini u periodu I-XII 2017. godine iznosi 746,3 hiljada što je za 2,8% više u odnosu na isti period prethodne godine. Najznačajniji doprinos rastu bio je u djelatnostima prerađivačke industrije, trgovine na veliko i malo, popravka motornih vozila i motocikala, te u djelatnosti pružanja smještaja te pripreme i usluživanja hrane. Istovremeno prosječan broj nezaposlenih lica u Bosni i Hercegovini je smanjen za 6,1%, što je uticalo na smanjenje stope nezaposlenosti. Anketna stopa nezaposlenosti u Bosni i Hercegovini u 2017. godini iznosi 20,5%. Prosječna neto plaća u Bosni i Hercegovini u periodu I-XII 2017. godine iznosila je 851 KM i nominalno je veća za 1,5% u odnosu na isti period prethodne godine uz sporiji realni rast (0,2%) zbog inflacije.</w:t>
      </w:r>
    </w:p>
    <w:p w:rsidR="00DB0D2D" w:rsidRDefault="00DB0D2D" w:rsidP="00DB0D2D">
      <w:pPr>
        <w:ind w:right="23" w:firstLine="720"/>
        <w:jc w:val="both"/>
      </w:pPr>
      <w:r>
        <w:t xml:space="preserve">Iako još uvijek nisu dostupni detaljni podaci za tržište rada u 2018. godini može se očekivati da će u posmatranoj godini nastaviti trend postepenog smanjenja stope nezaposlenosti, odnosno povećanja broja zaposlenih lica. </w:t>
      </w:r>
    </w:p>
    <w:p w:rsidR="00DB0D2D" w:rsidRDefault="00DB0D2D" w:rsidP="00DB0D2D">
      <w:pPr>
        <w:ind w:right="23" w:firstLine="720"/>
        <w:jc w:val="both"/>
      </w:pPr>
      <w:r>
        <w:t>Prema podacima za januar 2018. godine broj registrovanih nezaposlenih lica u Bosni i Hercegovini je manji za 7% u odnosu na januar 2017. godine. Kao i prethodnih godina, intenzitet rasta broja zaposlenih lica ali i plaća značajno će biti determinisan poslovnim ambijentom u Bosni i Hercegovini odnosno u regionu. Prema projekcijama Evropske komisije (Forecast, jesen 2017) u EU 28 takođe se očekuje postepeno smanjenje stope nezaposlenosti u 2018. godini.</w:t>
      </w:r>
    </w:p>
    <w:p w:rsidR="00170EC6" w:rsidRDefault="00170EC6" w:rsidP="00170EC6">
      <w:pPr>
        <w:ind w:right="23" w:firstLine="720"/>
        <w:jc w:val="both"/>
      </w:pPr>
      <w:r>
        <w:t>Pored toga, nivo investicija i obim vanjsk</w:t>
      </w:r>
      <w:r w:rsidR="00AF58ED">
        <w:t>o</w:t>
      </w:r>
      <w:r>
        <w:t>trgovinske aktivnosti u Bosni i Hercegovini bi mogao uticati na kreiranje radnih mjesta odnosno intenzitet zapošljavanja. Uz rast potražnje i bolje poslovni ambijent očekuju se veće mogućnosti zapošljavanja. Djelatnosti koje zapošljavaju najveći broj lica u Bosni i Hercegovini (industrija i trgovina) mogle bi i u 2018. godini dati značajan doprinos zapošljavanju, odnosno obim poslovne aktivnosti u navedenim oblastima utica</w:t>
      </w:r>
      <w:r w:rsidR="00AF58ED">
        <w:t xml:space="preserve">t </w:t>
      </w:r>
      <w:r>
        <w:t>će na stopu rasta broja zaposlenih lica. Prema navedenim dešavanjima u Bosni i Hercegovini se u 2018. godini može očekivati rast broja zaposlenih lica od 2,7%, odnosno prosječne neto plate od 1,9%.</w:t>
      </w:r>
    </w:p>
    <w:p w:rsidR="00050D3C" w:rsidRDefault="00170EC6" w:rsidP="00170EC6">
      <w:pPr>
        <w:ind w:right="23" w:firstLine="720"/>
        <w:jc w:val="both"/>
      </w:pPr>
      <w:r>
        <w:t>U periodu 2019</w:t>
      </w:r>
      <w:r w:rsidR="00AF58ED">
        <w:t xml:space="preserve">. </w:t>
      </w:r>
      <w:r>
        <w:t>-</w:t>
      </w:r>
      <w:r w:rsidR="00AF58ED">
        <w:t xml:space="preserve"> </w:t>
      </w:r>
      <w:r>
        <w:t>2021. godine prema projekcijama DEP-a očekuje se rast obima investicija, trgovine, industrijske proizvodnje što bi trebalo imati pozitivan uticaj na zapošljavanje i plaće u Bosni i Hercegovini. Takođe, nivo sporovođenja strukturnih reformi u Bosni i Hercegovini utica</w:t>
      </w:r>
      <w:r w:rsidR="00AF58ED">
        <w:t xml:space="preserve">t </w:t>
      </w:r>
      <w:r>
        <w:t>će na intenzitet smanjenja stope nezaposlenosti, što je pored pretpostavljenog ekonomskog rasta jedan od bitnih faktora za ostvarenje projekcija na tržištu rada i kreiranje novih radnih mjesta. Uzimajući u obzir sve navedeno, u periodu 2019</w:t>
      </w:r>
      <w:r w:rsidR="00AF58ED">
        <w:t>.</w:t>
      </w:r>
      <w:r>
        <w:t xml:space="preserve"> - 2021. </w:t>
      </w:r>
    </w:p>
    <w:p w:rsidR="00050D3C" w:rsidRPr="00050D3C" w:rsidRDefault="00050D3C" w:rsidP="00050D3C">
      <w:pPr>
        <w:ind w:right="23"/>
        <w:jc w:val="center"/>
        <w:rPr>
          <w:sz w:val="20"/>
          <w:szCs w:val="20"/>
        </w:rPr>
      </w:pPr>
      <w:r w:rsidRPr="00050D3C">
        <w:rPr>
          <w:sz w:val="20"/>
          <w:szCs w:val="20"/>
        </w:rPr>
        <w:lastRenderedPageBreak/>
        <w:t>-632-</w:t>
      </w:r>
    </w:p>
    <w:p w:rsidR="00D3723D" w:rsidRDefault="00170EC6" w:rsidP="00050D3C">
      <w:pPr>
        <w:ind w:right="23"/>
        <w:jc w:val="both"/>
      </w:pPr>
      <w:r>
        <w:t>godine se može očekivati rast broja zaposlenih lica oko 2,5%- 2,6%, odnosno neto plaća 2,4%-2,8%.</w:t>
      </w:r>
    </w:p>
    <w:p w:rsidR="00170EC6" w:rsidRDefault="00170EC6" w:rsidP="00170EC6">
      <w:pPr>
        <w:ind w:left="23" w:right="23" w:firstLine="697"/>
        <w:jc w:val="both"/>
      </w:pPr>
      <w:r>
        <w:t>U Bosni i Hercegovini u periodu I-XII 2017/I-XII 2016. godine je zabilježena inflacija od 1,3%. Naznačajniji doprinos inflaciji bio u odjeljcima prevoza, alkoholnih pića i duhana, hrane i bezalkoholnih pića. Cijene u odjeljku prevoza u posmatranom periodu su uvećane za 5,6% podstaknute rastom cijena sirove nafte na svjetskom tržištu. U odjeljku alkoholnih pića i duhana cijene su uvećane 5,2% zbog rasta cijena duhana i cigareta (nastavak harmonizacije akciza na cigarete i duhana sa EU legislativom), ali i zbog politike povećanja cijena cigareta pojedinih proizvođača. Iako su u odjeljku hrane i bezalkoholnih pića u posmatranom periodu cijene uvećane 1%, njihov doprinos rastu inflacije bio je evidentan zbog velikog udjela u CPI indeksu.</w:t>
      </w:r>
    </w:p>
    <w:p w:rsidR="00170EC6" w:rsidRDefault="00170EC6" w:rsidP="00170EC6">
      <w:pPr>
        <w:ind w:left="23" w:right="23" w:firstLine="697"/>
        <w:jc w:val="both"/>
      </w:pPr>
      <w:r>
        <w:t>Kretanje ukupnog nivoa cijena u Bosni i Hercegovini u 2018. godini značajno će determinisati dešavanja na svjetskom tržištu energenata (naročito sirove nafte), kao i nekoliko bitnih domaćih faktora poput povećanja akciza na duhan i cigarete i goriva. Rast cijena sirove nafte nastavljen je u 2018. godini. Prema podacima Svjetske banke cijena sirove nafte (brent) u februaru 2018. godine iznosila je 65,4 $/barelu, što je više za 18% u odnosu na isti mjesec prethodne godine. Po</w:t>
      </w:r>
      <w:r w:rsidR="008170B8">
        <w:t>red toga, prema predviđanjima Evropske komisije</w:t>
      </w:r>
      <w:r>
        <w:t xml:space="preserve"> (zimske projekcije 2018) cijena sirove nafte u 2018. godini mogla bi biti veća za 24,</w:t>
      </w:r>
      <w:r w:rsidR="008170B8">
        <w:t>6% u odnosu na prethodnu godinu</w:t>
      </w:r>
      <w:r>
        <w:t>.</w:t>
      </w:r>
    </w:p>
    <w:p w:rsidR="00D3723D" w:rsidRPr="00853312" w:rsidRDefault="00D3723D" w:rsidP="001F2AF5">
      <w:pPr>
        <w:jc w:val="both"/>
        <w:rPr>
          <w:b/>
          <w:iCs/>
          <w:color w:val="000000"/>
          <w:sz w:val="16"/>
          <w:szCs w:val="16"/>
          <w:lang w:val="bs-Latn-BA"/>
        </w:rPr>
      </w:pPr>
    </w:p>
    <w:p w:rsidR="00F21EE5" w:rsidRPr="00951CC5" w:rsidRDefault="00F21EE5" w:rsidP="001F2AF5">
      <w:pPr>
        <w:jc w:val="both"/>
        <w:rPr>
          <w:b/>
          <w:iCs/>
          <w:color w:val="000000"/>
          <w:lang w:val="bs-Latn-BA"/>
        </w:rPr>
      </w:pPr>
      <w:r w:rsidRPr="00951CC5">
        <w:rPr>
          <w:b/>
          <w:iCs/>
          <w:color w:val="000000"/>
          <w:lang w:val="bs-Latn-BA"/>
        </w:rPr>
        <w:t>Tabela</w:t>
      </w:r>
      <w:r w:rsidR="000428F6">
        <w:rPr>
          <w:b/>
          <w:iCs/>
          <w:color w:val="000000"/>
          <w:lang w:val="bs-Latn-BA"/>
        </w:rPr>
        <w:t xml:space="preserve"> 2</w:t>
      </w:r>
      <w:r w:rsidRPr="00951CC5">
        <w:rPr>
          <w:b/>
          <w:iCs/>
          <w:color w:val="000000"/>
          <w:lang w:val="bs-Latn-BA"/>
        </w:rPr>
        <w:t>. – Indeks industrijske proizvodnje u F</w:t>
      </w:r>
      <w:r w:rsidR="001F2AF5" w:rsidRPr="00951CC5">
        <w:rPr>
          <w:b/>
          <w:iCs/>
          <w:color w:val="000000"/>
          <w:lang w:val="bs-Latn-BA"/>
        </w:rPr>
        <w:t>B</w:t>
      </w:r>
      <w:r w:rsidRPr="00951CC5">
        <w:rPr>
          <w:b/>
          <w:iCs/>
          <w:color w:val="000000"/>
          <w:lang w:val="bs-Latn-BA"/>
        </w:rPr>
        <w:t>iH</w:t>
      </w:r>
      <w:r w:rsidR="00BD087E" w:rsidRPr="00951CC5">
        <w:rPr>
          <w:b/>
          <w:iCs/>
          <w:color w:val="000000"/>
          <w:lang w:val="bs-Latn-BA"/>
        </w:rPr>
        <w:t xml:space="preserve"> i Zeničko-dobojskom kantonu</w:t>
      </w:r>
      <w:r w:rsidRPr="00951CC5">
        <w:rPr>
          <w:b/>
          <w:iCs/>
          <w:color w:val="000000"/>
          <w:lang w:val="bs-Latn-BA"/>
        </w:rPr>
        <w:t xml:space="preserve"> </w:t>
      </w:r>
    </w:p>
    <w:p w:rsidR="0052456A" w:rsidRPr="00853312" w:rsidRDefault="0052456A" w:rsidP="00F21EE5">
      <w:pPr>
        <w:ind w:firstLine="720"/>
        <w:jc w:val="both"/>
        <w:rPr>
          <w:iCs/>
          <w:color w:val="000000"/>
          <w:sz w:val="16"/>
          <w:szCs w:val="16"/>
          <w:lang w:val="bs-Latn-BA"/>
        </w:rPr>
      </w:pPr>
    </w:p>
    <w:tbl>
      <w:tblPr>
        <w:tblW w:w="8946" w:type="dxa"/>
        <w:tblInd w:w="93" w:type="dxa"/>
        <w:tblLook w:val="04A0"/>
      </w:tblPr>
      <w:tblGrid>
        <w:gridCol w:w="2440"/>
        <w:gridCol w:w="1060"/>
        <w:gridCol w:w="1193"/>
        <w:gridCol w:w="1276"/>
        <w:gridCol w:w="1417"/>
        <w:gridCol w:w="1560"/>
      </w:tblGrid>
      <w:tr w:rsidR="00FF18D0" w:rsidTr="00FF18D0">
        <w:trPr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Indeksi g/g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2018    2017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2018    III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I-III 2018      I - 2017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D0" w:rsidTr="00FF18D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jc w:val="center"/>
            </w:pPr>
            <w:r>
              <w:t>Federacija BiH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</w:pPr>
            <w:r>
              <w:t>101,8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</w:pPr>
            <w: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</w:pPr>
            <w:r>
              <w:t>105,8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D0" w:rsidTr="00FF18D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D0" w:rsidTr="00FF18D0">
        <w:trPr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Indeksi g/g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2017           2016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2017         II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2017                           III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I-III 2017                    I-III 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I-III 2018                    I-III 2017</w:t>
            </w:r>
          </w:p>
        </w:tc>
      </w:tr>
      <w:tr w:rsidR="00FF18D0" w:rsidTr="00FF18D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Zeničko-dobojski kanton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jc w:val="center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jc w:val="center"/>
            </w:pPr>
            <w:r>
              <w:t>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0" w:rsidRDefault="00FF18D0">
            <w:pPr>
              <w:jc w:val="center"/>
            </w:pPr>
            <w:r>
              <w:t>110,8</w:t>
            </w:r>
          </w:p>
        </w:tc>
      </w:tr>
    </w:tbl>
    <w:p w:rsidR="000428F6" w:rsidRPr="000428F6" w:rsidRDefault="000428F6" w:rsidP="000428F6">
      <w:pPr>
        <w:rPr>
          <w:lang w:val="bs-Latn-BA"/>
        </w:rPr>
      </w:pPr>
    </w:p>
    <w:p w:rsidR="0027262B" w:rsidRPr="0027262B" w:rsidRDefault="000428F6" w:rsidP="00A4560A">
      <w:pPr>
        <w:pStyle w:val="TOC1"/>
      </w:pPr>
      <w:r>
        <w:t>Tabela 3</w:t>
      </w:r>
      <w:r w:rsidR="003E6E9B" w:rsidRPr="00A54729">
        <w:t>.</w:t>
      </w:r>
      <w:r w:rsidR="003E6E9B" w:rsidRPr="00A54729">
        <w:rPr>
          <w:color w:val="FF0000"/>
        </w:rPr>
        <w:t xml:space="preserve"> </w:t>
      </w:r>
      <w:r w:rsidR="003E6E9B" w:rsidRPr="00A54729">
        <w:t xml:space="preserve">– Izvoz Federacije BiH po područjima klasifikacije djelatnosti </w:t>
      </w:r>
    </w:p>
    <w:p w:rsidR="00872118" w:rsidRPr="0027262B" w:rsidRDefault="0027262B" w:rsidP="0027262B">
      <w:pPr>
        <w:jc w:val="center"/>
        <w:rPr>
          <w:rFonts w:ascii="Arial" w:hAnsi="Arial" w:cs="Arial"/>
          <w:color w:val="000000"/>
          <w:sz w:val="21"/>
          <w:szCs w:val="21"/>
          <w:lang w:val="bs-Latn-BA"/>
        </w:rPr>
      </w:pPr>
      <w:r>
        <w:rPr>
          <w:color w:val="000000"/>
          <w:sz w:val="20"/>
          <w:szCs w:val="20"/>
          <w:lang w:val="bs-Latn-BA"/>
        </w:rPr>
        <w:t xml:space="preserve">                                                                                                                            </w:t>
      </w:r>
      <w:r w:rsidR="006F0BBC">
        <w:rPr>
          <w:color w:val="000000"/>
          <w:sz w:val="20"/>
          <w:szCs w:val="20"/>
          <w:lang w:val="bs-Latn-BA"/>
        </w:rPr>
        <w:t xml:space="preserve">     </w:t>
      </w:r>
      <w:r w:rsidRPr="003E6E9B">
        <w:rPr>
          <w:color w:val="000000"/>
          <w:sz w:val="20"/>
          <w:szCs w:val="20"/>
          <w:lang w:val="bs-Latn-BA"/>
        </w:rPr>
        <w:t>u   000   KM</w:t>
      </w:r>
    </w:p>
    <w:tbl>
      <w:tblPr>
        <w:tblW w:w="7640" w:type="dxa"/>
        <w:jc w:val="center"/>
        <w:tblInd w:w="93" w:type="dxa"/>
        <w:tblLook w:val="04A0"/>
      </w:tblPr>
      <w:tblGrid>
        <w:gridCol w:w="2074"/>
        <w:gridCol w:w="931"/>
        <w:gridCol w:w="1026"/>
        <w:gridCol w:w="1103"/>
        <w:gridCol w:w="1096"/>
        <w:gridCol w:w="1410"/>
      </w:tblGrid>
      <w:tr w:rsidR="000E0CF8" w:rsidTr="000E0CF8">
        <w:trPr>
          <w:trHeight w:val="6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I2018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2018.                          II 2018.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2018.                          III 2017.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– III 2018.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- III 2018.                       I - III 2017.</w:t>
            </w:r>
          </w:p>
        </w:tc>
      </w:tr>
      <w:tr w:rsidR="000E0CF8" w:rsidTr="000E0CF8">
        <w:trPr>
          <w:trHeight w:val="28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650.233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1.023.047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112,9</w:t>
            </w:r>
          </w:p>
        </w:tc>
      </w:tr>
      <w:tr w:rsidR="000E0CF8" w:rsidTr="000E0CF8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Poljoprivreda, šumarstvo i ribarstvo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0E0CF8" w:rsidTr="000E0CF8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Vađenje ruda i kamena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0E0CF8" w:rsidTr="000E0CF8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Prerađivačka industrija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593.930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1.694.274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</w:t>
            </w:r>
          </w:p>
        </w:tc>
      </w:tr>
      <w:tr w:rsidR="000E0CF8" w:rsidTr="000E0CF8">
        <w:trPr>
          <w:trHeight w:val="12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Proizvodnja i snabdijevanje                 (el. gnergija, gas, klimatizacija)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0E0CF8" w:rsidTr="000E0CF8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128,9</w:t>
            </w:r>
          </w:p>
        </w:tc>
      </w:tr>
    </w:tbl>
    <w:p w:rsidR="00590EDA" w:rsidRPr="00853312" w:rsidRDefault="00853312" w:rsidP="00853312">
      <w:pPr>
        <w:jc w:val="center"/>
        <w:rPr>
          <w:sz w:val="20"/>
          <w:szCs w:val="20"/>
          <w:lang w:val="bs-Latn-BA"/>
        </w:rPr>
      </w:pPr>
      <w:r w:rsidRPr="00853312">
        <w:rPr>
          <w:sz w:val="20"/>
          <w:szCs w:val="20"/>
          <w:lang w:val="bs-Latn-BA"/>
        </w:rPr>
        <w:lastRenderedPageBreak/>
        <w:t>-633-</w:t>
      </w:r>
    </w:p>
    <w:p w:rsidR="00A54729" w:rsidRPr="00A54729" w:rsidRDefault="000428F6" w:rsidP="00A4560A">
      <w:pPr>
        <w:pStyle w:val="TOC1"/>
      </w:pPr>
      <w:r>
        <w:t>Tabela 4</w:t>
      </w:r>
      <w:r w:rsidR="009D0CC7" w:rsidRPr="003E6E9B">
        <w:t>.</w:t>
      </w:r>
      <w:r w:rsidR="009D0CC7" w:rsidRPr="003E6E9B">
        <w:rPr>
          <w:color w:val="FF0000"/>
        </w:rPr>
        <w:t xml:space="preserve"> </w:t>
      </w:r>
      <w:r w:rsidR="009D0CC7" w:rsidRPr="003E6E9B">
        <w:t xml:space="preserve">– Izvoz </w:t>
      </w:r>
      <w:r w:rsidR="009D0CC7">
        <w:t xml:space="preserve"> Zeničko-dobojskog kantona</w:t>
      </w:r>
      <w:r w:rsidR="009D0CC7" w:rsidRPr="003E6E9B">
        <w:t xml:space="preserve"> po područjima klasifikacije djelatnosti </w:t>
      </w:r>
    </w:p>
    <w:p w:rsidR="009D0CC7" w:rsidRDefault="00F1717B" w:rsidP="00F1717B">
      <w:pPr>
        <w:jc w:val="center"/>
        <w:rPr>
          <w:rFonts w:ascii="Arial" w:hAnsi="Arial" w:cs="Arial"/>
          <w:color w:val="000000"/>
          <w:sz w:val="21"/>
          <w:szCs w:val="21"/>
          <w:lang w:val="bs-Latn-BA"/>
        </w:rPr>
      </w:pPr>
      <w:r>
        <w:rPr>
          <w:color w:val="000000"/>
          <w:sz w:val="20"/>
          <w:szCs w:val="20"/>
          <w:lang w:val="bs-Latn-BA"/>
        </w:rPr>
        <w:t xml:space="preserve">                                                                                      </w:t>
      </w:r>
      <w:r w:rsidR="00F11986">
        <w:rPr>
          <w:color w:val="000000"/>
          <w:sz w:val="20"/>
          <w:szCs w:val="20"/>
          <w:lang w:val="bs-Latn-BA"/>
        </w:rPr>
        <w:t xml:space="preserve">                     </w:t>
      </w:r>
      <w:r w:rsidR="006F0BBC">
        <w:rPr>
          <w:color w:val="000000"/>
          <w:sz w:val="20"/>
          <w:szCs w:val="20"/>
          <w:lang w:val="bs-Latn-BA"/>
        </w:rPr>
        <w:t xml:space="preserve">                          </w:t>
      </w:r>
      <w:r>
        <w:rPr>
          <w:color w:val="000000"/>
          <w:sz w:val="20"/>
          <w:szCs w:val="20"/>
          <w:lang w:val="bs-Latn-BA"/>
        </w:rPr>
        <w:t xml:space="preserve"> </w:t>
      </w:r>
      <w:r w:rsidRPr="003E6E9B">
        <w:rPr>
          <w:color w:val="000000"/>
          <w:sz w:val="20"/>
          <w:szCs w:val="20"/>
          <w:lang w:val="bs-Latn-BA"/>
        </w:rPr>
        <w:t>u   000   KM</w:t>
      </w:r>
    </w:p>
    <w:tbl>
      <w:tblPr>
        <w:tblW w:w="8140" w:type="dxa"/>
        <w:jc w:val="center"/>
        <w:tblInd w:w="93" w:type="dxa"/>
        <w:tblLook w:val="04A0"/>
      </w:tblPr>
      <w:tblGrid>
        <w:gridCol w:w="2378"/>
        <w:gridCol w:w="931"/>
        <w:gridCol w:w="931"/>
        <w:gridCol w:w="924"/>
        <w:gridCol w:w="931"/>
        <w:gridCol w:w="931"/>
        <w:gridCol w:w="1114"/>
      </w:tblGrid>
      <w:tr w:rsidR="000E0CF8" w:rsidTr="000E0CF8">
        <w:trPr>
          <w:trHeight w:val="6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2018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2018.                          II 2018.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I-III 2017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I-III 2018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- III 2018.                       I - III 2017.</w:t>
            </w:r>
          </w:p>
        </w:tc>
      </w:tr>
      <w:tr w:rsidR="000E0CF8" w:rsidTr="000E0CF8">
        <w:trPr>
          <w:trHeight w:val="28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129.722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127.555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312.038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390.552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125,16</w:t>
            </w:r>
          </w:p>
        </w:tc>
      </w:tr>
      <w:tr w:rsidR="000E0CF8" w:rsidTr="000E0CF8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Poljoprivreda, šumarstvo i ribarstvo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153,88</w:t>
            </w:r>
          </w:p>
        </w:tc>
      </w:tr>
      <w:tr w:rsidR="000E0CF8" w:rsidTr="000E0CF8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Vađenje ruda i kamena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297,54</w:t>
            </w:r>
          </w:p>
        </w:tc>
      </w:tr>
      <w:tr w:rsidR="000E0CF8" w:rsidTr="000E0CF8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Prerađivačka industrija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124.185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306.965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380.578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123,98</w:t>
            </w:r>
          </w:p>
        </w:tc>
      </w:tr>
      <w:tr w:rsidR="000E0CF8" w:rsidTr="000E0CF8">
        <w:trPr>
          <w:trHeight w:val="9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Proizvodnja i snabdijevanje (el. gnergija, gas, klimatizacija)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0CF8" w:rsidTr="000E0CF8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198,67</w:t>
            </w:r>
          </w:p>
        </w:tc>
      </w:tr>
    </w:tbl>
    <w:p w:rsidR="000428F6" w:rsidRDefault="000428F6" w:rsidP="00A4560A">
      <w:pPr>
        <w:pStyle w:val="TOC1"/>
      </w:pPr>
    </w:p>
    <w:p w:rsidR="00A54729" w:rsidRPr="00A54729" w:rsidRDefault="000428F6" w:rsidP="00A4560A">
      <w:pPr>
        <w:pStyle w:val="TOC1"/>
      </w:pPr>
      <w:r>
        <w:t>Tabela 5</w:t>
      </w:r>
      <w:r w:rsidR="00F1717B" w:rsidRPr="004150F4">
        <w:t>. – Uvoz Federacije BiH po područjim</w:t>
      </w:r>
      <w:r w:rsidR="00F1717B">
        <w:t>a klasifikacije djelatnosti</w:t>
      </w:r>
    </w:p>
    <w:p w:rsidR="00F1717B" w:rsidRDefault="00F1717B" w:rsidP="00F9501F">
      <w:pPr>
        <w:rPr>
          <w:b/>
          <w:lang w:val="bs-Latn-BA"/>
        </w:rPr>
      </w:pPr>
      <w:r>
        <w:rPr>
          <w:color w:val="000000"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 w:rsidR="00F9501F">
        <w:rPr>
          <w:color w:val="000000"/>
          <w:sz w:val="20"/>
          <w:szCs w:val="20"/>
          <w:lang w:val="bs-Latn-BA"/>
        </w:rPr>
        <w:t xml:space="preserve">  </w:t>
      </w:r>
      <w:r>
        <w:rPr>
          <w:color w:val="000000"/>
          <w:sz w:val="20"/>
          <w:szCs w:val="20"/>
          <w:lang w:val="bs-Latn-BA"/>
        </w:rPr>
        <w:t xml:space="preserve"> </w:t>
      </w:r>
      <w:r w:rsidR="00A60E67">
        <w:rPr>
          <w:color w:val="000000"/>
          <w:sz w:val="20"/>
          <w:szCs w:val="20"/>
          <w:lang w:val="bs-Latn-BA"/>
        </w:rPr>
        <w:t xml:space="preserve">                    </w:t>
      </w:r>
      <w:r w:rsidR="003D1444">
        <w:rPr>
          <w:color w:val="000000"/>
          <w:sz w:val="20"/>
          <w:szCs w:val="20"/>
          <w:lang w:val="bs-Latn-BA"/>
        </w:rPr>
        <w:t xml:space="preserve">      </w:t>
      </w:r>
      <w:r w:rsidR="00A60E67">
        <w:rPr>
          <w:color w:val="000000"/>
          <w:sz w:val="20"/>
          <w:szCs w:val="20"/>
          <w:lang w:val="bs-Latn-BA"/>
        </w:rPr>
        <w:t xml:space="preserve">  </w:t>
      </w:r>
      <w:r w:rsidRPr="003E6E9B">
        <w:rPr>
          <w:color w:val="000000"/>
          <w:sz w:val="20"/>
          <w:szCs w:val="20"/>
          <w:lang w:val="bs-Latn-BA"/>
        </w:rPr>
        <w:t>u   000 KM</w:t>
      </w:r>
    </w:p>
    <w:tbl>
      <w:tblPr>
        <w:tblW w:w="7400" w:type="dxa"/>
        <w:jc w:val="center"/>
        <w:tblInd w:w="93" w:type="dxa"/>
        <w:tblLook w:val="04A0"/>
      </w:tblPr>
      <w:tblGrid>
        <w:gridCol w:w="2169"/>
        <w:gridCol w:w="1096"/>
        <w:gridCol w:w="949"/>
        <w:gridCol w:w="949"/>
        <w:gridCol w:w="1096"/>
        <w:gridCol w:w="1141"/>
      </w:tblGrid>
      <w:tr w:rsidR="000E0CF8" w:rsidTr="000E0CF8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2018.                          II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2018.                          III 2017.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– III 2018.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F8" w:rsidRDefault="000E0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- III 2018.                       I - III 2017.</w:t>
            </w:r>
          </w:p>
        </w:tc>
      </w:tr>
      <w:tr w:rsidR="000E0CF8" w:rsidTr="000E0CF8">
        <w:trPr>
          <w:trHeight w:val="28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1.147.058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3.030.830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109,5</w:t>
            </w:r>
          </w:p>
        </w:tc>
      </w:tr>
      <w:tr w:rsidR="000E0CF8" w:rsidTr="000E0CF8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Poljoprivreda, šumarstvo i ribarstvo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0E0CF8" w:rsidTr="000E0CF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Vađenje ruda i kamena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144.177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0E0CF8" w:rsidTr="000E0CF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Prerađivačka industrija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1.059.156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2.724.932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0E0CF8" w:rsidTr="000E0CF8">
        <w:trPr>
          <w:trHeight w:val="12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Proizvodnja i snabdijevanje                 (el. gnergija, gas, klimatizacija)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0E0CF8" w:rsidTr="000E0CF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CF8" w:rsidRDefault="000E0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</w:tr>
    </w:tbl>
    <w:p w:rsidR="00A54729" w:rsidRDefault="00A54729" w:rsidP="00A54729">
      <w:pPr>
        <w:pStyle w:val="TOC1"/>
      </w:pPr>
    </w:p>
    <w:p w:rsidR="00A76CB1" w:rsidRDefault="000428F6" w:rsidP="00A54729">
      <w:pPr>
        <w:pStyle w:val="TOC1"/>
      </w:pPr>
      <w:r>
        <w:t>Tabela 6</w:t>
      </w:r>
      <w:r w:rsidR="001F2AF5">
        <w:t>.</w:t>
      </w:r>
      <w:r w:rsidR="00F1717B" w:rsidRPr="004150F4">
        <w:t xml:space="preserve"> – Uvoz </w:t>
      </w:r>
      <w:r w:rsidR="000E5BFE">
        <w:t xml:space="preserve"> </w:t>
      </w:r>
      <w:r w:rsidR="00F1717B">
        <w:t xml:space="preserve">Zeničko-dobojskog kantona </w:t>
      </w:r>
      <w:r w:rsidR="00F1717B" w:rsidRPr="004150F4">
        <w:t xml:space="preserve"> po područjima klasifikacije djelatnosti  </w:t>
      </w:r>
    </w:p>
    <w:p w:rsidR="00F1717B" w:rsidRDefault="00F1717B" w:rsidP="00F1717B">
      <w:pPr>
        <w:jc w:val="center"/>
        <w:rPr>
          <w:b/>
          <w:lang w:val="bs-Latn-BA"/>
        </w:rPr>
      </w:pPr>
      <w:r>
        <w:rPr>
          <w:color w:val="000000"/>
          <w:sz w:val="20"/>
          <w:szCs w:val="20"/>
          <w:lang w:val="bs-Latn-BA"/>
        </w:rPr>
        <w:t xml:space="preserve">                                                                                    </w:t>
      </w:r>
      <w:r w:rsidR="00A76CB1">
        <w:rPr>
          <w:color w:val="000000"/>
          <w:sz w:val="20"/>
          <w:szCs w:val="20"/>
          <w:lang w:val="bs-Latn-BA"/>
        </w:rPr>
        <w:t xml:space="preserve">         </w:t>
      </w:r>
      <w:r w:rsidR="006F0BBC">
        <w:rPr>
          <w:color w:val="000000"/>
          <w:sz w:val="20"/>
          <w:szCs w:val="20"/>
          <w:lang w:val="bs-Latn-BA"/>
        </w:rPr>
        <w:t xml:space="preserve">                                       </w:t>
      </w:r>
      <w:r w:rsidR="00A76CB1">
        <w:rPr>
          <w:color w:val="000000"/>
          <w:sz w:val="20"/>
          <w:szCs w:val="20"/>
          <w:lang w:val="bs-Latn-BA"/>
        </w:rPr>
        <w:t xml:space="preserve"> u 000 </w:t>
      </w:r>
      <w:r w:rsidRPr="003E6E9B">
        <w:rPr>
          <w:color w:val="000000"/>
          <w:sz w:val="20"/>
          <w:szCs w:val="20"/>
          <w:lang w:val="bs-Latn-BA"/>
        </w:rPr>
        <w:t>KM</w:t>
      </w:r>
    </w:p>
    <w:tbl>
      <w:tblPr>
        <w:tblW w:w="8040" w:type="dxa"/>
        <w:jc w:val="center"/>
        <w:tblInd w:w="93" w:type="dxa"/>
        <w:tblLook w:val="04A0"/>
      </w:tblPr>
      <w:tblGrid>
        <w:gridCol w:w="2117"/>
        <w:gridCol w:w="931"/>
        <w:gridCol w:w="931"/>
        <w:gridCol w:w="1069"/>
        <w:gridCol w:w="931"/>
        <w:gridCol w:w="957"/>
        <w:gridCol w:w="1104"/>
      </w:tblGrid>
      <w:tr w:rsidR="00171ECC" w:rsidTr="00171ECC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CC" w:rsidRDefault="0017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2018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CC" w:rsidRDefault="0017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CC" w:rsidRDefault="0017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2018.                          II 2018.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CC" w:rsidRDefault="0017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I-III 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CC" w:rsidRDefault="0017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I-III 2018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CC" w:rsidRDefault="0017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- III 2018.                       I - III 2017.</w:t>
            </w:r>
          </w:p>
        </w:tc>
      </w:tr>
      <w:tr w:rsidR="00171ECC" w:rsidTr="00171ECC">
        <w:trPr>
          <w:trHeight w:val="28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139.742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158.551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438.804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117,66</w:t>
            </w:r>
          </w:p>
        </w:tc>
      </w:tr>
      <w:tr w:rsidR="00171ECC" w:rsidTr="00171ECC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Poljoprivreda, šumarstvo i ribarstvo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105,30</w:t>
            </w:r>
          </w:p>
        </w:tc>
      </w:tr>
      <w:tr w:rsidR="00171ECC" w:rsidTr="00171ECC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Vađenje ruda i kamena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77,11</w:t>
            </w:r>
          </w:p>
        </w:tc>
      </w:tr>
      <w:tr w:rsidR="00171ECC" w:rsidTr="00171ECC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Prerađivačka industrija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117.558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380.753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125,31</w:t>
            </w:r>
          </w:p>
        </w:tc>
      </w:tr>
      <w:tr w:rsidR="00171ECC" w:rsidTr="00171ECC">
        <w:trPr>
          <w:trHeight w:val="12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Proizvodnja i snabdijevanje (el. energija, gas, klimatizacija)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1ECC" w:rsidTr="00171ECC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CC" w:rsidRDefault="00171E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135,59</w:t>
            </w:r>
          </w:p>
        </w:tc>
      </w:tr>
    </w:tbl>
    <w:p w:rsidR="00590EDA" w:rsidRPr="003E6569" w:rsidRDefault="00590EDA" w:rsidP="003E1FA6">
      <w:pPr>
        <w:jc w:val="both"/>
        <w:rPr>
          <w:b/>
          <w:iCs/>
          <w:lang w:val="pl-PL"/>
        </w:rPr>
      </w:pPr>
    </w:p>
    <w:p w:rsidR="00466396" w:rsidRDefault="000428F6" w:rsidP="003E1FA6">
      <w:pPr>
        <w:jc w:val="both"/>
        <w:rPr>
          <w:b/>
          <w:iCs/>
          <w:lang w:val="bs-Latn-BA"/>
        </w:rPr>
      </w:pPr>
      <w:r>
        <w:rPr>
          <w:b/>
          <w:iCs/>
          <w:lang w:val="bs-Latn-BA"/>
        </w:rPr>
        <w:t>Tabela 7</w:t>
      </w:r>
      <w:r w:rsidR="00F00320" w:rsidRPr="00A54729">
        <w:rPr>
          <w:b/>
          <w:iCs/>
          <w:lang w:val="bs-Latn-BA"/>
        </w:rPr>
        <w:t>.</w:t>
      </w:r>
      <w:r w:rsidR="003E1FA6" w:rsidRPr="00A54729">
        <w:rPr>
          <w:b/>
          <w:iCs/>
          <w:lang w:val="bs-Latn-BA"/>
        </w:rPr>
        <w:t xml:space="preserve"> – Uporedna tabela zaposlenih/nezaposlenih u Federaciji BiH</w:t>
      </w:r>
      <w:r w:rsidR="00E12E8F" w:rsidRPr="00A54729">
        <w:rPr>
          <w:b/>
          <w:iCs/>
          <w:lang w:val="bs-Latn-BA"/>
        </w:rPr>
        <w:t xml:space="preserve"> i Zeničko-</w:t>
      </w:r>
    </w:p>
    <w:p w:rsidR="003E1FA6" w:rsidRPr="00A54729" w:rsidRDefault="00466396" w:rsidP="003E1FA6">
      <w:pPr>
        <w:jc w:val="both"/>
        <w:rPr>
          <w:b/>
          <w:iCs/>
          <w:lang w:val="bs-Latn-BA"/>
        </w:rPr>
      </w:pPr>
      <w:r>
        <w:rPr>
          <w:b/>
          <w:iCs/>
          <w:lang w:val="bs-Latn-BA"/>
        </w:rPr>
        <w:t xml:space="preserve">                    </w:t>
      </w:r>
      <w:r w:rsidRPr="00A54729">
        <w:rPr>
          <w:b/>
          <w:iCs/>
          <w:lang w:val="bs-Latn-BA"/>
        </w:rPr>
        <w:t>dobojskom kantonu</w:t>
      </w:r>
      <w:r w:rsidR="003E1FA6" w:rsidRPr="00A54729">
        <w:rPr>
          <w:b/>
          <w:iCs/>
          <w:lang w:val="bs-Latn-BA"/>
        </w:rPr>
        <w:t xml:space="preserve"> </w:t>
      </w:r>
    </w:p>
    <w:p w:rsidR="003E1FA6" w:rsidRPr="00A214F5" w:rsidRDefault="003E1FA6" w:rsidP="003E1FA6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bs-Latn-BA"/>
        </w:rPr>
      </w:pPr>
    </w:p>
    <w:tbl>
      <w:tblPr>
        <w:tblW w:w="7940" w:type="dxa"/>
        <w:jc w:val="center"/>
        <w:tblInd w:w="93" w:type="dxa"/>
        <w:tblLook w:val="04A0"/>
      </w:tblPr>
      <w:tblGrid>
        <w:gridCol w:w="1784"/>
        <w:gridCol w:w="866"/>
        <w:gridCol w:w="866"/>
        <w:gridCol w:w="866"/>
        <w:gridCol w:w="866"/>
        <w:gridCol w:w="866"/>
        <w:gridCol w:w="866"/>
        <w:gridCol w:w="960"/>
      </w:tblGrid>
      <w:tr w:rsidR="00D71055" w:rsidTr="00D71055">
        <w:trPr>
          <w:trHeight w:val="25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 2018</w:t>
            </w:r>
          </w:p>
        </w:tc>
      </w:tr>
      <w:tr w:rsidR="00D71055" w:rsidTr="00D71055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zaposlenih u FBiH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437.331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513.198</w:t>
            </w:r>
          </w:p>
        </w:tc>
      </w:tr>
      <w:tr w:rsidR="00D71055" w:rsidTr="00D71055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nezaposlenih u FBiH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393.787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389.865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372.207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343.207</w:t>
            </w:r>
          </w:p>
        </w:tc>
      </w:tr>
      <w:tr w:rsidR="00D71055" w:rsidTr="00D71055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nezaposlenih u ZDK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70.462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60.171</w:t>
            </w:r>
          </w:p>
        </w:tc>
      </w:tr>
    </w:tbl>
    <w:p w:rsidR="002D78A7" w:rsidRDefault="002D78A7" w:rsidP="003E1FA6">
      <w:pPr>
        <w:jc w:val="both"/>
        <w:rPr>
          <w:b/>
          <w:iCs/>
          <w:lang w:val="bs-Latn-BA"/>
        </w:rPr>
      </w:pPr>
    </w:p>
    <w:p w:rsidR="003E1FA6" w:rsidRPr="00370DEC" w:rsidRDefault="000428F6" w:rsidP="003E1FA6">
      <w:pPr>
        <w:jc w:val="both"/>
        <w:rPr>
          <w:b/>
          <w:iCs/>
          <w:lang w:val="bs-Latn-BA"/>
        </w:rPr>
      </w:pPr>
      <w:r>
        <w:rPr>
          <w:b/>
          <w:iCs/>
          <w:lang w:val="bs-Latn-BA"/>
        </w:rPr>
        <w:t>Tabela 8</w:t>
      </w:r>
      <w:r w:rsidR="003E1FA6" w:rsidRPr="00370DEC">
        <w:rPr>
          <w:b/>
          <w:iCs/>
          <w:lang w:val="bs-Latn-BA"/>
        </w:rPr>
        <w:t>. – Uporedna tabe</w:t>
      </w:r>
      <w:r w:rsidR="00370DEC">
        <w:rPr>
          <w:b/>
          <w:iCs/>
          <w:lang w:val="bs-Latn-BA"/>
        </w:rPr>
        <w:t>la neto plać</w:t>
      </w:r>
      <w:r w:rsidR="003E1FA6" w:rsidRPr="00370DEC">
        <w:rPr>
          <w:b/>
          <w:iCs/>
          <w:lang w:val="bs-Latn-BA"/>
        </w:rPr>
        <w:t xml:space="preserve">a u Federaciji BiH </w:t>
      </w:r>
      <w:r w:rsidR="00E12E8F" w:rsidRPr="00370DEC">
        <w:rPr>
          <w:b/>
          <w:iCs/>
          <w:lang w:val="bs-Latn-BA"/>
        </w:rPr>
        <w:t>i Zeničko-dobojskom kantonu</w:t>
      </w:r>
    </w:p>
    <w:p w:rsidR="000E5BFE" w:rsidRPr="00E12E8F" w:rsidRDefault="000E5BFE" w:rsidP="003E1FA6">
      <w:pPr>
        <w:jc w:val="both"/>
        <w:rPr>
          <w:iCs/>
          <w:color w:val="000000"/>
          <w:sz w:val="20"/>
          <w:szCs w:val="20"/>
          <w:lang w:val="bs-Latn-BA"/>
        </w:rPr>
      </w:pPr>
    </w:p>
    <w:tbl>
      <w:tblPr>
        <w:tblW w:w="8318" w:type="dxa"/>
        <w:jc w:val="center"/>
        <w:tblInd w:w="93" w:type="dxa"/>
        <w:tblLook w:val="04A0"/>
      </w:tblPr>
      <w:tblGrid>
        <w:gridCol w:w="994"/>
        <w:gridCol w:w="766"/>
        <w:gridCol w:w="766"/>
        <w:gridCol w:w="766"/>
        <w:gridCol w:w="766"/>
        <w:gridCol w:w="766"/>
        <w:gridCol w:w="766"/>
        <w:gridCol w:w="766"/>
        <w:gridCol w:w="965"/>
        <w:gridCol w:w="997"/>
      </w:tblGrid>
      <w:tr w:rsidR="00D71055" w:rsidTr="00D71055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 2018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 2018</w:t>
            </w:r>
          </w:p>
        </w:tc>
      </w:tr>
      <w:tr w:rsidR="00D71055" w:rsidTr="00D71055">
        <w:trPr>
          <w:trHeight w:val="51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Prosječna neto plaća u FBiH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881,00</w:t>
            </w:r>
          </w:p>
        </w:tc>
      </w:tr>
      <w:tr w:rsidR="00D71055" w:rsidTr="00D71055">
        <w:trPr>
          <w:trHeight w:val="51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Prosječna neto plaća u ZDK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55" w:rsidRDefault="00D710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5" w:rsidRDefault="00D71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</w:tr>
    </w:tbl>
    <w:p w:rsidR="009B208F" w:rsidRDefault="009B208F" w:rsidP="00913B69">
      <w:pPr>
        <w:jc w:val="both"/>
        <w:rPr>
          <w:b/>
          <w:lang w:val="bs-Latn-BA"/>
        </w:rPr>
      </w:pPr>
    </w:p>
    <w:p w:rsidR="003E1FA6" w:rsidRDefault="000E5BFE" w:rsidP="00913B69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DIO </w:t>
      </w:r>
      <w:r w:rsidR="009D71B5">
        <w:rPr>
          <w:b/>
          <w:lang w:val="bs-Latn-BA"/>
        </w:rPr>
        <w:t>TREĆI</w:t>
      </w:r>
      <w:r>
        <w:rPr>
          <w:b/>
          <w:lang w:val="bs-Latn-BA"/>
        </w:rPr>
        <w:t xml:space="preserve"> – FISKALNE </w:t>
      </w:r>
      <w:r w:rsidR="00C715D6">
        <w:rPr>
          <w:b/>
          <w:lang w:val="bs-Latn-BA"/>
        </w:rPr>
        <w:t>PRET</w:t>
      </w:r>
      <w:r>
        <w:rPr>
          <w:b/>
          <w:lang w:val="bs-Latn-BA"/>
        </w:rPr>
        <w:t>P</w:t>
      </w:r>
      <w:r w:rsidR="00C715D6">
        <w:rPr>
          <w:b/>
          <w:lang w:val="bs-Latn-BA"/>
        </w:rPr>
        <w:t>O</w:t>
      </w:r>
      <w:r>
        <w:rPr>
          <w:b/>
          <w:lang w:val="bs-Latn-BA"/>
        </w:rPr>
        <w:t>ST</w:t>
      </w:r>
      <w:r w:rsidR="00C715D6">
        <w:rPr>
          <w:b/>
          <w:lang w:val="bs-Latn-BA"/>
        </w:rPr>
        <w:t>AVKE</w:t>
      </w:r>
      <w:r>
        <w:rPr>
          <w:b/>
          <w:lang w:val="bs-Latn-BA"/>
        </w:rPr>
        <w:t xml:space="preserve"> I PROGNOZE</w:t>
      </w:r>
    </w:p>
    <w:p w:rsidR="000E5BFE" w:rsidRDefault="000E5BFE" w:rsidP="00913B69">
      <w:pPr>
        <w:jc w:val="both"/>
        <w:rPr>
          <w:b/>
          <w:lang w:val="bs-Latn-BA"/>
        </w:rPr>
      </w:pPr>
    </w:p>
    <w:p w:rsidR="000E5BFE" w:rsidRDefault="00144CE9" w:rsidP="00913B69">
      <w:pPr>
        <w:jc w:val="both"/>
        <w:rPr>
          <w:b/>
          <w:lang w:val="bs-Latn-BA"/>
        </w:rPr>
      </w:pPr>
      <w:r>
        <w:rPr>
          <w:b/>
          <w:lang w:val="bs-Latn-BA"/>
        </w:rPr>
        <w:t>POGLAVLJE I. FISKALNE PRETPOSTAVKE</w:t>
      </w:r>
    </w:p>
    <w:p w:rsidR="00D11F0A" w:rsidRDefault="00D11F0A" w:rsidP="006043EC">
      <w:pPr>
        <w:ind w:left="20" w:right="20" w:firstLine="700"/>
        <w:jc w:val="both"/>
      </w:pPr>
    </w:p>
    <w:p w:rsidR="006043EC" w:rsidRPr="00566D50" w:rsidRDefault="006043EC" w:rsidP="006043EC">
      <w:pPr>
        <w:ind w:left="20" w:right="20" w:firstLine="700"/>
        <w:jc w:val="both"/>
      </w:pPr>
      <w:r w:rsidRPr="00566D50">
        <w:t>Projekcije prihoda od i</w:t>
      </w:r>
      <w:r w:rsidR="00C57EC9">
        <w:t>ndirektnih poreza za period 2019</w:t>
      </w:r>
      <w:r w:rsidR="00E80388">
        <w:t>.</w:t>
      </w:r>
      <w:r>
        <w:t xml:space="preserve"> – </w:t>
      </w:r>
      <w:r w:rsidR="00C57EC9">
        <w:t>2021</w:t>
      </w:r>
      <w:r>
        <w:t xml:space="preserve">. godine </w:t>
      </w:r>
      <w:r w:rsidRPr="00566D50">
        <w:t xml:space="preserve"> sastoje se od osnovnog scenarija projekcija.</w:t>
      </w:r>
    </w:p>
    <w:p w:rsidR="006043EC" w:rsidRPr="00566D50" w:rsidRDefault="006043EC" w:rsidP="00C57EC9">
      <w:pPr>
        <w:ind w:firstLine="720"/>
        <w:jc w:val="both"/>
      </w:pPr>
      <w:r w:rsidRPr="006043EC">
        <w:rPr>
          <w:rStyle w:val="BodytextBold"/>
          <w:rFonts w:ascii="Times New Roman" w:hAnsi="Times New Roman"/>
          <w:b w:val="0"/>
          <w:sz w:val="24"/>
          <w:szCs w:val="24"/>
        </w:rPr>
        <w:t>Osnovni scenario projekcija</w:t>
      </w:r>
      <w:r w:rsidRPr="00566D50">
        <w:rPr>
          <w:rStyle w:val="BodytextBold"/>
          <w:rFonts w:ascii="Times New Roman" w:hAnsi="Times New Roman"/>
        </w:rPr>
        <w:t xml:space="preserve"> </w:t>
      </w:r>
      <w:r w:rsidRPr="00566D50">
        <w:t>prihoda temelji se na sljedećim pretpostavkama:</w:t>
      </w:r>
    </w:p>
    <w:p w:rsidR="00C57EC9" w:rsidRPr="00E90421" w:rsidRDefault="00C57EC9" w:rsidP="00C57EC9">
      <w:pPr>
        <w:widowControl w:val="0"/>
        <w:numPr>
          <w:ilvl w:val="0"/>
          <w:numId w:val="23"/>
        </w:numPr>
        <w:tabs>
          <w:tab w:val="left" w:pos="715"/>
        </w:tabs>
        <w:ind w:left="700" w:right="20" w:hanging="340"/>
        <w:jc w:val="both"/>
      </w:pPr>
      <w:r w:rsidRPr="00E90421">
        <w:t>Prognoze makroekonomskih pokazatelja Direkcije za ekonomsko planiranje (DEP) za period 2018</w:t>
      </w:r>
      <w:r w:rsidR="00E80388">
        <w:t xml:space="preserve">. </w:t>
      </w:r>
      <w:r w:rsidRPr="00E90421">
        <w:t>-</w:t>
      </w:r>
      <w:r w:rsidR="00E80388">
        <w:t xml:space="preserve"> </w:t>
      </w:r>
      <w:r w:rsidRPr="00E90421">
        <w:t>2021</w:t>
      </w:r>
      <w:r w:rsidR="00E80388">
        <w:t>.</w:t>
      </w:r>
      <w:r w:rsidRPr="00E90421">
        <w:t xml:space="preserve"> iz marta 2018</w:t>
      </w:r>
      <w:r w:rsidR="00E80388">
        <w:t>.</w:t>
      </w:r>
      <w:r w:rsidRPr="00E90421">
        <w:t>;</w:t>
      </w:r>
    </w:p>
    <w:p w:rsidR="00C57EC9" w:rsidRPr="00E90421" w:rsidRDefault="00C57EC9" w:rsidP="00C57EC9">
      <w:pPr>
        <w:widowControl w:val="0"/>
        <w:numPr>
          <w:ilvl w:val="0"/>
          <w:numId w:val="23"/>
        </w:numPr>
        <w:tabs>
          <w:tab w:val="left" w:pos="706"/>
        </w:tabs>
        <w:ind w:left="700" w:hanging="340"/>
        <w:jc w:val="both"/>
      </w:pPr>
      <w:r w:rsidRPr="00E90421">
        <w:t>Izmjene Zakona o akcizama u primjeni od 1.2.2018.</w:t>
      </w:r>
      <w:r w:rsidRPr="00E90421">
        <w:rPr>
          <w:vertAlign w:val="superscript"/>
        </w:rPr>
        <w:footnoteReference w:id="5"/>
      </w:r>
    </w:p>
    <w:p w:rsidR="00C57EC9" w:rsidRPr="00E90421" w:rsidRDefault="00C57EC9" w:rsidP="00C57EC9">
      <w:pPr>
        <w:widowControl w:val="0"/>
        <w:numPr>
          <w:ilvl w:val="0"/>
          <w:numId w:val="23"/>
        </w:numPr>
        <w:tabs>
          <w:tab w:val="left" w:pos="715"/>
        </w:tabs>
        <w:ind w:left="700" w:right="20" w:hanging="340"/>
        <w:jc w:val="both"/>
      </w:pPr>
      <w:r w:rsidRPr="00E90421">
        <w:t>Nastavak harmonizacije akciza na cigarete sa standardima EU i primjena nove politike oporezivanja rezanog duhana</w:t>
      </w:r>
      <w:r w:rsidRPr="00E90421">
        <w:rPr>
          <w:vertAlign w:val="superscript"/>
        </w:rPr>
        <w:footnoteReference w:id="6"/>
      </w:r>
      <w:r w:rsidRPr="00E90421">
        <w:t>;</w:t>
      </w:r>
    </w:p>
    <w:p w:rsidR="00C57EC9" w:rsidRPr="00E90421" w:rsidRDefault="00C57EC9" w:rsidP="00C57EC9">
      <w:pPr>
        <w:widowControl w:val="0"/>
        <w:numPr>
          <w:ilvl w:val="0"/>
          <w:numId w:val="23"/>
        </w:numPr>
        <w:tabs>
          <w:tab w:val="left" w:pos="715"/>
        </w:tabs>
        <w:ind w:left="700" w:right="20" w:hanging="340"/>
        <w:jc w:val="both"/>
      </w:pPr>
      <w:r w:rsidRPr="00E90421">
        <w:t>Efekti primjene adaptiranog Sporazuma o stabilizaciji i pridruživanju EU (</w:t>
      </w:r>
      <w:r>
        <w:t>SSP), u primjeni od 01.02.2017</w:t>
      </w:r>
      <w:r w:rsidR="00E80388">
        <w:t>.</w:t>
      </w:r>
      <w:r>
        <w:t>;</w:t>
      </w:r>
    </w:p>
    <w:p w:rsidR="00C57EC9" w:rsidRPr="00E90421" w:rsidRDefault="00C57EC9" w:rsidP="00C57EC9">
      <w:pPr>
        <w:widowControl w:val="0"/>
        <w:numPr>
          <w:ilvl w:val="0"/>
          <w:numId w:val="23"/>
        </w:numPr>
        <w:tabs>
          <w:tab w:val="left" w:pos="696"/>
        </w:tabs>
        <w:ind w:left="700" w:hanging="340"/>
      </w:pPr>
      <w:r w:rsidRPr="00E90421">
        <w:t>Tekući trendovi u naplati prihoda od indirektnih poreza.</w:t>
      </w:r>
    </w:p>
    <w:p w:rsidR="00C57EC9" w:rsidRDefault="00C57EC9" w:rsidP="00C57EC9">
      <w:pPr>
        <w:ind w:left="20" w:right="20" w:firstLine="340"/>
        <w:jc w:val="both"/>
      </w:pPr>
    </w:p>
    <w:p w:rsidR="00D11F0A" w:rsidRDefault="00C57EC9" w:rsidP="00C57EC9">
      <w:pPr>
        <w:ind w:left="20" w:right="20" w:firstLine="680"/>
        <w:jc w:val="both"/>
      </w:pPr>
      <w:r w:rsidRPr="00E90421">
        <w:t>Politika akciza na duhan u 2018. utvrđena je Zakonom o akcizama i Odlukom</w:t>
      </w:r>
      <w:r w:rsidRPr="00E90421">
        <w:rPr>
          <w:vertAlign w:val="superscript"/>
        </w:rPr>
        <w:footnoteReference w:id="7"/>
      </w:r>
      <w:r w:rsidRPr="00E90421">
        <w:t xml:space="preserve"> Upravnog odbora UIO. Politika akciza na duhan u periodu 2018</w:t>
      </w:r>
      <w:r w:rsidR="00E80388">
        <w:t xml:space="preserve">. </w:t>
      </w:r>
      <w:r w:rsidRPr="00E90421">
        <w:t>-</w:t>
      </w:r>
      <w:r w:rsidR="00E80388">
        <w:t xml:space="preserve"> </w:t>
      </w:r>
      <w:r w:rsidRPr="00E90421">
        <w:t>2019</w:t>
      </w:r>
      <w:r w:rsidR="00E80388">
        <w:t>.</w:t>
      </w:r>
      <w:r w:rsidRPr="00E90421">
        <w:t xml:space="preserve"> podrazumijeva </w:t>
      </w:r>
    </w:p>
    <w:p w:rsidR="00D11F0A" w:rsidRDefault="00D11F0A" w:rsidP="00D11F0A">
      <w:pPr>
        <w:ind w:left="20" w:right="20"/>
        <w:jc w:val="center"/>
        <w:rPr>
          <w:sz w:val="20"/>
          <w:szCs w:val="20"/>
        </w:rPr>
      </w:pPr>
    </w:p>
    <w:p w:rsidR="00D11F0A" w:rsidRDefault="00D11F0A" w:rsidP="00D11F0A">
      <w:pPr>
        <w:ind w:left="20" w:right="20"/>
        <w:jc w:val="center"/>
        <w:rPr>
          <w:sz w:val="20"/>
          <w:szCs w:val="20"/>
        </w:rPr>
      </w:pPr>
      <w:r w:rsidRPr="00D11F0A">
        <w:rPr>
          <w:sz w:val="20"/>
          <w:szCs w:val="20"/>
        </w:rPr>
        <w:lastRenderedPageBreak/>
        <w:t>-63</w:t>
      </w:r>
      <w:r w:rsidR="00752B66">
        <w:rPr>
          <w:sz w:val="20"/>
          <w:szCs w:val="20"/>
        </w:rPr>
        <w:t>5</w:t>
      </w:r>
      <w:r w:rsidRPr="00D11F0A">
        <w:rPr>
          <w:sz w:val="20"/>
          <w:szCs w:val="20"/>
        </w:rPr>
        <w:t>-</w:t>
      </w:r>
    </w:p>
    <w:p w:rsidR="00D11F0A" w:rsidRPr="00D11F0A" w:rsidRDefault="00D11F0A" w:rsidP="00D11F0A">
      <w:pPr>
        <w:ind w:left="20" w:right="20"/>
        <w:jc w:val="center"/>
        <w:rPr>
          <w:sz w:val="8"/>
          <w:szCs w:val="8"/>
        </w:rPr>
      </w:pPr>
    </w:p>
    <w:p w:rsidR="00C57EC9" w:rsidRPr="00E90421" w:rsidRDefault="00C57EC9" w:rsidP="00D11F0A">
      <w:pPr>
        <w:ind w:left="20" w:right="20"/>
        <w:jc w:val="both"/>
      </w:pPr>
      <w:r w:rsidRPr="00E90421">
        <w:t>kontinuirano godišnje povećanje specifične akcize na cigarete u visini od 0,15 KM/paklici, utvrđivanje minimalne akcize na cigarete (minimalno 60% prosječne ponderirane cijene cigareta) i usklađivanje specifične akcize na rezani duhan sa akcizom na cigarete (minimalno 80% minimalne akcize na cigarete). Očekuje se da će se minimalna akciza na cigarete u EU za sve cjenovne kategorije cigareta dostići 2019.</w:t>
      </w:r>
      <w:r w:rsidR="00624AD1">
        <w:t xml:space="preserve"> </w:t>
      </w:r>
      <w:r w:rsidRPr="00E90421">
        <w:t>godine.</w:t>
      </w:r>
      <w:r>
        <w:t xml:space="preserve"> </w:t>
      </w:r>
      <w:r w:rsidRPr="00E90421">
        <w:t xml:space="preserve">2017. godina je bila godina rekordne naplate prihoda od indirektnih poreza, bruto i neto, i, ujedno, godina izuzetno visokog rasta izvoza od 17,4% i snažnog rasta uvoza od 12,2%, koji su u velikoj mjeri determinirali bruto i neto naplatu. U prvom polugodištu stopa rasta je iznosila 3,1%, da bi u drugom dijelu godine, sve do decembra, stope rasta neto prihoda dosezale i 5,7%. Međutim, neočekivano loša naplata prihoda u decembru kumulativnu stopu rasta neto prihoda je smanjila sa 4,8%, koliko je ostvareno za jedanaest mjeseci, na 3,5%. Najvažniji segmenti rasta bruto prihoda od indirektnih poreza bili su PDV na uvoz, potom domaći PDV, te u manjoj mjeri prihodi od carina, putarine, akciza na derivate nafte i duhanske prerađevine. Važan faktor rasta bila je i potrošnja nerezidenata u tranzitu, uključujući i turizam, te prekograničnoj i malograničnoj potrošnji, koja je posljedica regionalne konkurentnosti cijena derivata u </w:t>
      </w:r>
      <w:r w:rsidR="00624AD1">
        <w:t>Bosni i</w:t>
      </w:r>
      <w:r>
        <w:t xml:space="preserve"> Hercegovini</w:t>
      </w:r>
      <w:r w:rsidRPr="00E90421">
        <w:t xml:space="preserve">. Iako se očekivalo da će primjena adaptiranog </w:t>
      </w:r>
      <w:r>
        <w:t>Sporazuma o stabilizaciji i pridruživanju (</w:t>
      </w:r>
      <w:r w:rsidRPr="00E90421">
        <w:t>SSP</w:t>
      </w:r>
      <w:r>
        <w:t>)</w:t>
      </w:r>
      <w:r w:rsidRPr="00E90421">
        <w:t xml:space="preserve"> od 1.2.2017. donijeti značajan pad prihoda od carina ostvaren je neto porast prihoda od 20,9 mil KM.</w:t>
      </w:r>
    </w:p>
    <w:p w:rsidR="00C57EC9" w:rsidRPr="00E90421" w:rsidRDefault="00C57EC9" w:rsidP="00C57EC9">
      <w:pPr>
        <w:ind w:left="20" w:right="20" w:firstLine="680"/>
        <w:jc w:val="both"/>
      </w:pPr>
      <w:r w:rsidRPr="00E90421">
        <w:t>U prvom kvartalu 2018. nastavljeni su pozitivni trendovi u naplati prihoda od indirektnih poreza. Prema preliminarnom izvještaju o gotovinskom toku na JR UIO u prvom kvartalu 2018. bruto naplata je iznosila 1,701 mlrd</w:t>
      </w:r>
      <w:r w:rsidR="00624AD1">
        <w:t>.</w:t>
      </w:r>
      <w:r w:rsidRPr="00E90421">
        <w:t xml:space="preserve"> KM. Isplate povrata su bile veće za 25,4 mil KM u odnosu na prvi kvartal 2017., što je umanjilo efekte bruto naplate. U konačnici neto naplata prihoda od indirektnih poreza je bila veća za 132,7 mil</w:t>
      </w:r>
      <w:r w:rsidR="00624AD1">
        <w:t>.</w:t>
      </w:r>
      <w:r w:rsidRPr="00E90421">
        <w:t xml:space="preserve"> KM od naplate u prvom k</w:t>
      </w:r>
      <w:r>
        <w:t xml:space="preserve">vartalu 2017, odnosno za 10,6%. </w:t>
      </w:r>
      <w:r w:rsidRPr="00E90421">
        <w:t>Vrlo visoka stopa rasta prihoda u prvom kvartalu 2018. u određeno</w:t>
      </w:r>
      <w:r>
        <w:t>j mjeri odstupa od uobičajene š</w:t>
      </w:r>
      <w:r w:rsidRPr="00E90421">
        <w:t>eme naplate indirektnih poreza.</w:t>
      </w:r>
    </w:p>
    <w:p w:rsidR="009B208F" w:rsidRPr="00D11F0A" w:rsidRDefault="009B208F" w:rsidP="006C43E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16"/>
          <w:szCs w:val="16"/>
          <w:lang w:val="hr-HR"/>
        </w:rPr>
      </w:pPr>
    </w:p>
    <w:p w:rsidR="00E44D68" w:rsidRPr="00E44D68" w:rsidRDefault="00A101DA" w:rsidP="006C43E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Odjeljak A</w:t>
      </w:r>
      <w:r w:rsidR="00E44D68" w:rsidRPr="00E44D68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</w:t>
      </w:r>
      <w:r w:rsidR="00E44D68" w:rsidRPr="00E44D68">
        <w:rPr>
          <w:rFonts w:ascii="Times New Roman" w:hAnsi="Times New Roman"/>
          <w:b/>
          <w:bCs/>
          <w:sz w:val="24"/>
          <w:szCs w:val="24"/>
          <w:lang w:val="hr-HR"/>
        </w:rPr>
        <w:t>Projekcije prihoda od indirektnih poreza na nivou Bosne i Hercegovine</w:t>
      </w:r>
    </w:p>
    <w:p w:rsidR="00A3655A" w:rsidRPr="00E90421" w:rsidRDefault="00A3655A" w:rsidP="00A3655A">
      <w:pPr>
        <w:ind w:left="23" w:right="23" w:firstLine="697"/>
        <w:jc w:val="both"/>
      </w:pPr>
      <w:r w:rsidRPr="00E90421">
        <w:t>Na osnovu trendova naplate prihoda, godišnjih makroekonomskih projekcija i procjena efekata izmjene Zakona o akcizama, primjene adaptiranog SSP i Sporazuma o slobodnoj trgovini između BiH i EFTA, projektovana neto naplata prihoda od indirektnih poreza za 2018. godinu iznosi 6.080,4 mil</w:t>
      </w:r>
      <w:r w:rsidR="00624AD1">
        <w:t>.</w:t>
      </w:r>
      <w:r w:rsidRPr="00E90421">
        <w:t xml:space="preserve"> KM što je za 6,2% više nego u 2017. godini.</w:t>
      </w:r>
    </w:p>
    <w:p w:rsidR="00A3655A" w:rsidRPr="00E90421" w:rsidRDefault="00A3655A" w:rsidP="00A3655A">
      <w:pPr>
        <w:ind w:left="23" w:right="23" w:firstLine="697"/>
        <w:jc w:val="both"/>
      </w:pPr>
      <w:r w:rsidRPr="00E90421">
        <w:t>Najveći doprinos projektovanom rastu prihoda od 354,4 mil</w:t>
      </w:r>
      <w:r w:rsidR="00624AD1">
        <w:t>.</w:t>
      </w:r>
      <w:r w:rsidRPr="00E90421">
        <w:t xml:space="preserve"> KM imaju prihodi od putarine (191,4 mil</w:t>
      </w:r>
      <w:r w:rsidR="00624AD1">
        <w:t>.</w:t>
      </w:r>
      <w:r w:rsidRPr="00E90421">
        <w:t xml:space="preserve"> KM), odnosno namjenske putarine zbog primjene viših stopa od 1.2.2018. godine. Nakon toga slijede prihodi od PDV-a, za koje je predviđen rast od 151,9 mil KM. Carine i ostali prihodi nemaju značajno učešće u planiranom rastu prihoda, dok akcize imaju negativne efekte (-14,3 mil</w:t>
      </w:r>
      <w:r w:rsidR="00624AD1">
        <w:t>.</w:t>
      </w:r>
      <w:r w:rsidRPr="00E90421">
        <w:t xml:space="preserve"> KM).</w:t>
      </w:r>
    </w:p>
    <w:p w:rsidR="00A3655A" w:rsidRDefault="00A3655A" w:rsidP="00A3655A">
      <w:pPr>
        <w:ind w:left="20" w:right="20" w:firstLine="700"/>
        <w:jc w:val="both"/>
      </w:pPr>
      <w:r>
        <w:t>Projekcija prihoda od carina za 2018. godinu iznosi 288,2 mil</w:t>
      </w:r>
      <w:r w:rsidR="00624AD1">
        <w:t>.</w:t>
      </w:r>
      <w:r>
        <w:t xml:space="preserve"> KM, a zasnovana je na tekućim trendovima naplate i projekcijama rasta uvoza.</w:t>
      </w:r>
    </w:p>
    <w:p w:rsidR="00A3655A" w:rsidRDefault="00A3655A" w:rsidP="00A3655A">
      <w:pPr>
        <w:ind w:left="20" w:right="20" w:firstLine="700"/>
        <w:jc w:val="both"/>
      </w:pPr>
      <w:r>
        <w:t>Projekcija prihoda od PDV-a za 2018. godinu iznosi 3.728,0 mil</w:t>
      </w:r>
      <w:r w:rsidR="00624AD1">
        <w:t>.</w:t>
      </w:r>
      <w:r>
        <w:t xml:space="preserve"> KM, što je za 4,2 % više od naplate u prethodnoj godini. Projektovana stopa rasta godišnje naplate je ispod ostvarene u prvom kvartalu, a zasnovana je projekcijama makroekonomskih pokazatelja za 2018. godinu, kao i na tekućim trendovima naplate ovih prihoda, koji ukazuju na usporavanje rasta prihoda u odnosu na snažne stope rasta na samom početku godine koje su velikim dijelom uzrokovane jednokratnim efektima.</w:t>
      </w:r>
    </w:p>
    <w:p w:rsidR="00A3655A" w:rsidRDefault="00A3655A" w:rsidP="00A3655A">
      <w:pPr>
        <w:ind w:left="23" w:right="23" w:firstLine="697"/>
        <w:jc w:val="both"/>
      </w:pPr>
      <w:r>
        <w:t>Projektovane stope rasta prihoda za 2019., 2020., i 2021. godinu iznose 3,0%, 3,0% i 3,1% respektivno. Projekcija prihoda u navedenom periodu zasnovana je na projektovanim relevantnim makroekonomskim pokazateljima, istorijskoj sezonskoj shemi naplate i projekcijama pojedinih kategorija prihoda za 2018. godinu, te efektima izmjena politika u oblasti akciza na derivate nafte i putarine.</w:t>
      </w:r>
    </w:p>
    <w:p w:rsidR="001C1842" w:rsidRDefault="001C1842" w:rsidP="001C1842">
      <w:pPr>
        <w:ind w:right="23"/>
        <w:jc w:val="center"/>
        <w:rPr>
          <w:sz w:val="20"/>
          <w:szCs w:val="20"/>
        </w:rPr>
      </w:pPr>
      <w:r w:rsidRPr="001C1842">
        <w:rPr>
          <w:sz w:val="20"/>
          <w:szCs w:val="20"/>
        </w:rPr>
        <w:lastRenderedPageBreak/>
        <w:t>-63</w:t>
      </w:r>
      <w:r w:rsidR="004B2FCA">
        <w:rPr>
          <w:sz w:val="20"/>
          <w:szCs w:val="20"/>
        </w:rPr>
        <w:t>6</w:t>
      </w:r>
      <w:r w:rsidRPr="001C1842">
        <w:rPr>
          <w:sz w:val="20"/>
          <w:szCs w:val="20"/>
        </w:rPr>
        <w:t>-</w:t>
      </w:r>
    </w:p>
    <w:p w:rsidR="001C1842" w:rsidRPr="001C1842" w:rsidRDefault="001C1842" w:rsidP="001C1842">
      <w:pPr>
        <w:ind w:right="23"/>
        <w:jc w:val="center"/>
        <w:rPr>
          <w:sz w:val="8"/>
          <w:szCs w:val="8"/>
        </w:rPr>
      </w:pPr>
    </w:p>
    <w:p w:rsidR="00A3655A" w:rsidRDefault="00A3655A" w:rsidP="00B66FF5">
      <w:pPr>
        <w:ind w:left="23" w:right="23" w:firstLine="697"/>
        <w:jc w:val="both"/>
      </w:pPr>
      <w:r>
        <w:t>Najveći generator suficita prihoda od indirektnih poreza u navedenom periodu je PDV, s obzirom na njegovo značajno učešće u prihodima, te planiranim stabilnim stopama rasta. U sve tri navedene godine prihodi od PDV-a generišu preko dvije trećine apsolutnog godišnjeg projektovanog rasta prihoda.</w:t>
      </w:r>
    </w:p>
    <w:p w:rsidR="009C7BEC" w:rsidRPr="009C7BEC" w:rsidRDefault="009C7BEC" w:rsidP="00B66FF5">
      <w:pPr>
        <w:ind w:right="20"/>
        <w:jc w:val="both"/>
      </w:pPr>
    </w:p>
    <w:tbl>
      <w:tblPr>
        <w:tblW w:w="10932" w:type="dxa"/>
        <w:jc w:val="center"/>
        <w:tblInd w:w="93" w:type="dxa"/>
        <w:tblLook w:val="04A0"/>
      </w:tblPr>
      <w:tblGrid>
        <w:gridCol w:w="2712"/>
        <w:gridCol w:w="913"/>
        <w:gridCol w:w="900"/>
        <w:gridCol w:w="1127"/>
        <w:gridCol w:w="881"/>
        <w:gridCol w:w="881"/>
        <w:gridCol w:w="938"/>
        <w:gridCol w:w="825"/>
        <w:gridCol w:w="825"/>
        <w:gridCol w:w="930"/>
      </w:tblGrid>
      <w:tr w:rsidR="000F7677" w:rsidTr="00B0194F">
        <w:trPr>
          <w:trHeight w:hRule="exact" w:val="255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Vrsta prihoda (neto)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u mil KM</w:t>
            </w:r>
          </w:p>
        </w:tc>
        <w:tc>
          <w:tcPr>
            <w:tcW w:w="3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Projektovana stopa rasta</w:t>
            </w:r>
          </w:p>
        </w:tc>
      </w:tr>
      <w:tr w:rsidR="000F7677" w:rsidTr="00B0194F">
        <w:trPr>
          <w:trHeight w:val="255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Izvršenje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Projekcija</w:t>
            </w:r>
          </w:p>
        </w:tc>
        <w:tc>
          <w:tcPr>
            <w:tcW w:w="3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</w:p>
        </w:tc>
      </w:tr>
      <w:tr w:rsidR="00B0194F" w:rsidTr="00B0194F">
        <w:trPr>
          <w:trHeight w:val="255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2021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PDV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3.576,10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3.728,00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3.861,00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3.987,70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4.121,00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4,20%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3,60%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3,30%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3,30%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Akcize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1.464,80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1.450,50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1.456,70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1.491,70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1.528,50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-1,00%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0,40%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2,40%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2,50%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Carine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288,2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304,9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322,6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341,6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7,10%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5,80%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5,80%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5,90%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Putarina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382,5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573,9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602,2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611,8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622,2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4,90%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1,60%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1,70%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Ostalo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40,1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40,5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40,9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18,90%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1,00%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1,00%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UKUPNO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5.726,00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6.080,40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6.264,90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6.454,40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6.654,30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6,20%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3,10%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Namjenska putarina *)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-152,8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352.5**)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-376,5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-382,5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-389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130,70%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6,80%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1,60%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1,70%</w:t>
            </w:r>
          </w:p>
        </w:tc>
      </w:tr>
      <w:tr w:rsidR="00B0194F" w:rsidTr="00B0194F">
        <w:trPr>
          <w:trHeight w:hRule="exact" w:val="255"/>
          <w:jc w:val="center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SREDSTVA ZA RASPODJELU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5.573,20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5.727,90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5.888,40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6.071,80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6.265,20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2,80%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2,80%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3,10%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677" w:rsidRDefault="000F7677">
            <w:pPr>
              <w:ind w:firstLineChars="100" w:firstLine="19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hr-HR"/>
              </w:rPr>
              <w:t>3,20%</w:t>
            </w:r>
          </w:p>
        </w:tc>
      </w:tr>
    </w:tbl>
    <w:p w:rsidR="009C7BEC" w:rsidRDefault="009C7BEC" w:rsidP="00050BC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0428F6" w:rsidRDefault="000428F6" w:rsidP="00050BC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504AA" w:rsidRDefault="0060475E" w:rsidP="00050BC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Odjeljak B</w:t>
      </w:r>
      <w:r w:rsidR="00E504AA" w:rsidRPr="00E44D68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</w:t>
      </w:r>
      <w:r w:rsidR="00E504AA">
        <w:rPr>
          <w:rFonts w:ascii="Times New Roman" w:hAnsi="Times New Roman"/>
          <w:b/>
          <w:bCs/>
          <w:sz w:val="24"/>
          <w:szCs w:val="24"/>
          <w:lang w:val="hr-HR"/>
        </w:rPr>
        <w:t>Direktni porezi</w:t>
      </w:r>
    </w:p>
    <w:p w:rsidR="00050BC4" w:rsidRDefault="00050BC4" w:rsidP="00050BC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635948" w:rsidRPr="00635948" w:rsidRDefault="00635948" w:rsidP="00635948">
      <w:pPr>
        <w:pStyle w:val="Bodytext1"/>
        <w:shd w:val="clear" w:color="auto" w:fill="auto"/>
        <w:ind w:firstLine="720"/>
        <w:rPr>
          <w:rFonts w:ascii="Times New Roman" w:hAnsi="Times New Roman"/>
          <w:sz w:val="24"/>
          <w:szCs w:val="24"/>
        </w:rPr>
      </w:pPr>
      <w:r w:rsidRPr="00635948">
        <w:rPr>
          <w:rFonts w:ascii="Times New Roman" w:hAnsi="Times New Roman"/>
          <w:sz w:val="24"/>
          <w:szCs w:val="24"/>
        </w:rPr>
        <w:t>Zakon o porezu na dohodak ("Slu</w:t>
      </w:r>
      <w:r>
        <w:rPr>
          <w:rFonts w:ascii="Times New Roman" w:hAnsi="Times New Roman"/>
          <w:sz w:val="24"/>
          <w:szCs w:val="24"/>
        </w:rPr>
        <w:t>žbene novine Federacije BiH, broj:</w:t>
      </w:r>
      <w:r w:rsidR="00F07557">
        <w:rPr>
          <w:rFonts w:ascii="Times New Roman" w:hAnsi="Times New Roman"/>
          <w:sz w:val="24"/>
          <w:szCs w:val="24"/>
        </w:rPr>
        <w:t xml:space="preserve"> </w:t>
      </w:r>
      <w:r w:rsidR="00F07557" w:rsidRPr="009E7D2E">
        <w:rPr>
          <w:rFonts w:ascii="Times New Roman" w:hAnsi="Times New Roman"/>
          <w:sz w:val="24"/>
          <w:szCs w:val="24"/>
        </w:rPr>
        <w:t xml:space="preserve">10/08, 9/10, 44/11, </w:t>
      </w:r>
      <w:r w:rsidRPr="009E7D2E">
        <w:rPr>
          <w:rFonts w:ascii="Times New Roman" w:hAnsi="Times New Roman"/>
          <w:sz w:val="24"/>
          <w:szCs w:val="24"/>
        </w:rPr>
        <w:t>7/13</w:t>
      </w:r>
      <w:r w:rsidR="00F07557" w:rsidRPr="009E7D2E">
        <w:rPr>
          <w:rFonts w:ascii="Times New Roman" w:hAnsi="Times New Roman"/>
          <w:sz w:val="24"/>
          <w:szCs w:val="24"/>
        </w:rPr>
        <w:t xml:space="preserve"> i 65/13</w:t>
      </w:r>
      <w:r w:rsidRPr="00635948">
        <w:rPr>
          <w:rFonts w:ascii="Times New Roman" w:hAnsi="Times New Roman"/>
          <w:sz w:val="24"/>
          <w:szCs w:val="24"/>
        </w:rPr>
        <w:t>), koji je u primjeni od 01.01.2009. godine, donio je pozitivne efekte u reformi oblasti direktnog oporezivanja, zamjenivši niz drugih p</w:t>
      </w:r>
      <w:r w:rsidR="00FD2BDF">
        <w:rPr>
          <w:rFonts w:ascii="Times New Roman" w:hAnsi="Times New Roman"/>
          <w:sz w:val="24"/>
          <w:szCs w:val="24"/>
        </w:rPr>
        <w:t xml:space="preserve">oreza koje su plaćali građani, a </w:t>
      </w:r>
      <w:r w:rsidRPr="00635948">
        <w:rPr>
          <w:rFonts w:ascii="Times New Roman" w:hAnsi="Times New Roman"/>
          <w:sz w:val="24"/>
          <w:szCs w:val="24"/>
        </w:rPr>
        <w:t xml:space="preserve"> uključuje oporezivanje dohotka od nesamostalne i samostalne djelatnosti, dohotka od imovine i imovinskih prava, od ulaganja kapitala, te od dobitaka ostvarenih sudjelovanjem u nagradnim igrama i igrama na sreću.</w:t>
      </w:r>
    </w:p>
    <w:p w:rsidR="00635948" w:rsidRPr="00635948" w:rsidRDefault="00635948" w:rsidP="00635948">
      <w:pPr>
        <w:pStyle w:val="Bodytext1"/>
        <w:shd w:val="clear" w:color="auto" w:fill="auto"/>
        <w:spacing w:line="293" w:lineRule="exact"/>
        <w:ind w:firstLine="720"/>
        <w:rPr>
          <w:rFonts w:ascii="Times New Roman" w:hAnsi="Times New Roman"/>
          <w:sz w:val="24"/>
          <w:szCs w:val="24"/>
        </w:rPr>
      </w:pPr>
      <w:r w:rsidRPr="00635948">
        <w:rPr>
          <w:rFonts w:ascii="Times New Roman" w:hAnsi="Times New Roman"/>
          <w:sz w:val="24"/>
          <w:szCs w:val="24"/>
        </w:rPr>
        <w:t>Porez na dohodak je prihod koji pripada kantonalnim i općinskim budžetima, tako da 65,54% pripada kantonalnom budžet</w:t>
      </w:r>
      <w:r w:rsidR="0060475E">
        <w:rPr>
          <w:rFonts w:ascii="Times New Roman" w:hAnsi="Times New Roman"/>
          <w:sz w:val="24"/>
          <w:szCs w:val="24"/>
        </w:rPr>
        <w:t>u, a općinama minimalno 34,46%.</w:t>
      </w:r>
    </w:p>
    <w:p w:rsidR="00635948" w:rsidRPr="00635948" w:rsidRDefault="00635948" w:rsidP="00A84722">
      <w:pPr>
        <w:pStyle w:val="Bodytext1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35948">
        <w:rPr>
          <w:rFonts w:ascii="Times New Roman" w:hAnsi="Times New Roman"/>
          <w:sz w:val="24"/>
          <w:szCs w:val="24"/>
        </w:rPr>
        <w:t>Pored prihoda od indirektnih poreza, u skladu sa Zakonom o pripadnosti javnih prihoda u Federaciji BiH prikupljaju se i drugi porezi, koji uključuju porez na dobit pravnih lica, porez na dohodak, poreze na imovinu i ostale poreze.</w:t>
      </w:r>
    </w:p>
    <w:p w:rsidR="00C95DC2" w:rsidRDefault="00635948" w:rsidP="00C95DC2">
      <w:pPr>
        <w:pStyle w:val="Bodytext1"/>
        <w:shd w:val="clear" w:color="auto" w:fill="auto"/>
        <w:ind w:firstLine="720"/>
        <w:rPr>
          <w:rFonts w:ascii="Times New Roman" w:hAnsi="Times New Roman"/>
          <w:sz w:val="24"/>
          <w:szCs w:val="24"/>
        </w:rPr>
      </w:pPr>
      <w:r w:rsidRPr="00C95DC2">
        <w:rPr>
          <w:rFonts w:ascii="Times New Roman" w:hAnsi="Times New Roman"/>
          <w:sz w:val="24"/>
          <w:szCs w:val="24"/>
        </w:rPr>
        <w:t xml:space="preserve">Porez na dobit utemeljen je Zakonom o porezu na dobit („Službene novine Federacije BiH", broj: </w:t>
      </w:r>
      <w:r w:rsidR="004B1BC0">
        <w:rPr>
          <w:rFonts w:ascii="Times New Roman" w:hAnsi="Times New Roman"/>
          <w:sz w:val="24"/>
          <w:szCs w:val="24"/>
          <w:lang w:val="en-GB"/>
        </w:rPr>
        <w:t>15/16</w:t>
      </w:r>
      <w:r w:rsidRPr="00C95DC2">
        <w:rPr>
          <w:rFonts w:ascii="Times New Roman" w:hAnsi="Times New Roman"/>
          <w:sz w:val="24"/>
          <w:szCs w:val="24"/>
        </w:rPr>
        <w:t>), a pripadnost i raspodjela utvrđeni Zakonom o pripadnosti javnih prihoda, prema kojem se porez na dobit koji plaćaju banke i druge finansijske organizacije, društva za osiguranje i reosiguranje imovine i lica, pravna lica iz oblasti elektroprivrede, pošte i telekomunukacija, pravna lica iz ob</w:t>
      </w:r>
      <w:r w:rsidR="00FD7383">
        <w:rPr>
          <w:rFonts w:ascii="Times New Roman" w:hAnsi="Times New Roman"/>
          <w:sz w:val="24"/>
          <w:szCs w:val="24"/>
        </w:rPr>
        <w:t>lasti igara na sreću i ostala pre</w:t>
      </w:r>
      <w:r w:rsidRPr="00C95DC2">
        <w:rPr>
          <w:rFonts w:ascii="Times New Roman" w:hAnsi="Times New Roman"/>
          <w:sz w:val="24"/>
          <w:szCs w:val="24"/>
        </w:rPr>
        <w:t>duzeća uplaćuju u Budžet Federacije, dok je porez na dobit koji plaćaju ostala pravna lica u cjelosti prihod kantona.</w:t>
      </w:r>
    </w:p>
    <w:p w:rsidR="000A39A8" w:rsidRDefault="00464F23" w:rsidP="001C1842">
      <w:pPr>
        <w:ind w:right="23" w:firstLine="720"/>
        <w:jc w:val="both"/>
      </w:pPr>
      <w:bookmarkStart w:id="0" w:name="_Toc129414337"/>
      <w:bookmarkStart w:id="1" w:name="_Toc190228391"/>
      <w:bookmarkStart w:id="2" w:name="_Toc191048980"/>
      <w:bookmarkStart w:id="3" w:name="_Toc197340778"/>
      <w:r>
        <w:t>U periodu januar - septembar 2017. godine, poreske uprave su zajedno prikupile oko 5,3 milijarde KM prihoda. Prihodi po osnovu direktnih poreza, doprinosa i drugih prihoda su viši za 9,9% g/g u poređenju sa istim periodom prethodne godine.</w:t>
      </w:r>
    </w:p>
    <w:p w:rsidR="00464F23" w:rsidRDefault="00464F23" w:rsidP="001C1842">
      <w:pPr>
        <w:ind w:right="23" w:firstLine="720"/>
        <w:jc w:val="both"/>
      </w:pPr>
      <w:r>
        <w:t>Po osnovu direktnih poreza, ukupno je prikupljeno oko 1 milijardu KM prihoda (17,3% više). Glavne kategorije direktnih poreza, još uvijek su porez na dohodak i porez na dobit. Kod poreza na dohodak najznačajniji su porez na dohodak fizičkih lica od samostalne i nesamostalne djelatnosti. Po ovom osnovu prikupljeno je oko 471 milion KM (9,7% više).</w:t>
      </w:r>
    </w:p>
    <w:p w:rsidR="00464F23" w:rsidRDefault="00464F23" w:rsidP="001C1842">
      <w:pPr>
        <w:ind w:left="23" w:right="23" w:firstLine="697"/>
        <w:jc w:val="both"/>
      </w:pPr>
      <w:r>
        <w:t>Po osnovu poreza na dobit je prikupljeno oko 431 milion KM (više za 33,2%). Najznačajni rast u kategoriji poreza na dobit ostvaren je zahvaljujući porezu na dobit preduzeća, porezu na dobit pravnih lica iz oblasti igara na sreću, porezu na dobit banaka i mikrokreditnih organizacija.</w:t>
      </w:r>
    </w:p>
    <w:p w:rsidR="001C1842" w:rsidRDefault="001C1842" w:rsidP="001C1842">
      <w:pPr>
        <w:jc w:val="center"/>
        <w:rPr>
          <w:sz w:val="20"/>
          <w:szCs w:val="20"/>
          <w:lang w:val="hr-BA"/>
        </w:rPr>
      </w:pPr>
    </w:p>
    <w:p w:rsidR="001C1842" w:rsidRDefault="001C1842" w:rsidP="001C1842">
      <w:pPr>
        <w:jc w:val="center"/>
        <w:rPr>
          <w:sz w:val="20"/>
          <w:szCs w:val="20"/>
          <w:lang w:val="hr-BA"/>
        </w:rPr>
      </w:pPr>
      <w:r w:rsidRPr="001C1842">
        <w:rPr>
          <w:sz w:val="20"/>
          <w:szCs w:val="20"/>
          <w:lang w:val="hr-BA"/>
        </w:rPr>
        <w:lastRenderedPageBreak/>
        <w:t>-63</w:t>
      </w:r>
      <w:r w:rsidR="004B2FCA">
        <w:rPr>
          <w:sz w:val="20"/>
          <w:szCs w:val="20"/>
          <w:lang w:val="hr-BA"/>
        </w:rPr>
        <w:t>7</w:t>
      </w:r>
      <w:r w:rsidRPr="001C1842">
        <w:rPr>
          <w:sz w:val="20"/>
          <w:szCs w:val="20"/>
          <w:lang w:val="hr-BA"/>
        </w:rPr>
        <w:t>-</w:t>
      </w:r>
    </w:p>
    <w:p w:rsidR="001C1842" w:rsidRPr="001C1842" w:rsidRDefault="001C1842" w:rsidP="001C1842">
      <w:pPr>
        <w:jc w:val="center"/>
        <w:rPr>
          <w:sz w:val="8"/>
          <w:szCs w:val="8"/>
          <w:lang w:val="hr-BA"/>
        </w:rPr>
      </w:pPr>
    </w:p>
    <w:p w:rsidR="006C43E3" w:rsidRDefault="006C43E3" w:rsidP="00A67F71">
      <w:pPr>
        <w:jc w:val="both"/>
        <w:rPr>
          <w:b/>
          <w:lang w:val="hr-BA"/>
        </w:rPr>
      </w:pPr>
      <w:r>
        <w:rPr>
          <w:b/>
          <w:lang w:val="hr-BA"/>
        </w:rPr>
        <w:t xml:space="preserve">DIO </w:t>
      </w:r>
      <w:r w:rsidR="009D71B5">
        <w:rPr>
          <w:b/>
          <w:lang w:val="hr-BA"/>
        </w:rPr>
        <w:t>ČETVRTI</w:t>
      </w:r>
      <w:r>
        <w:rPr>
          <w:b/>
          <w:lang w:val="hr-BA"/>
        </w:rPr>
        <w:t xml:space="preserve">  - STRUKTURA PRIHODA I POTROŠNJE BUDŽETA </w:t>
      </w:r>
      <w:r w:rsidR="00964155">
        <w:rPr>
          <w:b/>
          <w:lang w:val="hr-BA"/>
        </w:rPr>
        <w:t>OPĆINE ZAVIDOVIĆI</w:t>
      </w:r>
    </w:p>
    <w:p w:rsidR="006C43E3" w:rsidRPr="00185315" w:rsidRDefault="006C43E3" w:rsidP="00A67F71">
      <w:pPr>
        <w:jc w:val="both"/>
        <w:rPr>
          <w:b/>
          <w:sz w:val="16"/>
          <w:szCs w:val="16"/>
          <w:lang w:val="hr-BA"/>
        </w:rPr>
      </w:pPr>
    </w:p>
    <w:p w:rsidR="00B6443F" w:rsidRDefault="00BC6078" w:rsidP="00A67F71">
      <w:pPr>
        <w:jc w:val="both"/>
        <w:rPr>
          <w:b/>
          <w:lang w:val="hr-BA"/>
        </w:rPr>
      </w:pPr>
      <w:r>
        <w:rPr>
          <w:b/>
          <w:lang w:val="hr-BA"/>
        </w:rPr>
        <w:t xml:space="preserve">POGLAVLJE I. PRIHODI BUDŽETA </w:t>
      </w:r>
      <w:r w:rsidR="00964155">
        <w:rPr>
          <w:b/>
          <w:lang w:val="hr-BA"/>
        </w:rPr>
        <w:t>OPĆINE ZAVIDOVIĆI</w:t>
      </w:r>
    </w:p>
    <w:p w:rsidR="00185315" w:rsidRPr="00185315" w:rsidRDefault="00185315" w:rsidP="00A67F71">
      <w:pPr>
        <w:jc w:val="both"/>
        <w:rPr>
          <w:b/>
          <w:sz w:val="8"/>
          <w:szCs w:val="8"/>
          <w:lang w:val="hr-BA"/>
        </w:rPr>
      </w:pPr>
    </w:p>
    <w:p w:rsidR="00E27066" w:rsidRDefault="00E27066" w:rsidP="00E27066">
      <w:pPr>
        <w:ind w:firstLine="720"/>
        <w:jc w:val="both"/>
        <w:rPr>
          <w:lang w:val="hr-BA"/>
        </w:rPr>
      </w:pPr>
      <w:r w:rsidRPr="00575863">
        <w:rPr>
          <w:lang w:val="hr-BA"/>
        </w:rPr>
        <w:t xml:space="preserve">Ukupni poreski i neporeski prihodi i primici </w:t>
      </w:r>
      <w:r>
        <w:rPr>
          <w:lang w:val="hr-BA"/>
        </w:rPr>
        <w:t>u B</w:t>
      </w:r>
      <w:r w:rsidRPr="00575863">
        <w:rPr>
          <w:lang w:val="hr-BA"/>
        </w:rPr>
        <w:t xml:space="preserve">udžetu </w:t>
      </w:r>
      <w:r>
        <w:rPr>
          <w:lang w:val="hr-BA"/>
        </w:rPr>
        <w:t>općine Zavidovići</w:t>
      </w:r>
      <w:r w:rsidRPr="00575863">
        <w:rPr>
          <w:lang w:val="hr-BA"/>
        </w:rPr>
        <w:t xml:space="preserve"> u 20</w:t>
      </w:r>
      <w:r>
        <w:rPr>
          <w:lang w:val="hr-HR"/>
        </w:rPr>
        <w:t>18</w:t>
      </w:r>
      <w:r w:rsidRPr="00575863">
        <w:rPr>
          <w:lang w:val="hr-BA"/>
        </w:rPr>
        <w:t xml:space="preserve">. </w:t>
      </w:r>
      <w:r w:rsidR="005A354B">
        <w:rPr>
          <w:lang w:val="hr-BA"/>
        </w:rPr>
        <w:t>g</w:t>
      </w:r>
      <w:r w:rsidRPr="00575863">
        <w:rPr>
          <w:lang w:val="hr-BA"/>
        </w:rPr>
        <w:t>odini p</w:t>
      </w:r>
      <w:r>
        <w:rPr>
          <w:lang w:val="hr-BA"/>
        </w:rPr>
        <w:t>lanirani su</w:t>
      </w:r>
      <w:r w:rsidRPr="00575863">
        <w:rPr>
          <w:lang w:val="hr-BA"/>
        </w:rPr>
        <w:t xml:space="preserve"> u iznosu od </w:t>
      </w:r>
      <w:r>
        <w:rPr>
          <w:lang w:val="hr-BA"/>
        </w:rPr>
        <w:t>10,</w:t>
      </w:r>
      <w:r w:rsidR="004A11E1">
        <w:rPr>
          <w:lang w:val="hr-BA"/>
        </w:rPr>
        <w:t>083</w:t>
      </w:r>
      <w:r>
        <w:rPr>
          <w:lang w:val="hr-BA"/>
        </w:rPr>
        <w:t xml:space="preserve"> miliona</w:t>
      </w:r>
      <w:r w:rsidRPr="00575863">
        <w:rPr>
          <w:lang w:val="hr-BA"/>
        </w:rPr>
        <w:t xml:space="preserve"> KM</w:t>
      </w:r>
      <w:r w:rsidRPr="00575863">
        <w:rPr>
          <w:lang w:val="hr-HR"/>
        </w:rPr>
        <w:t>,</w:t>
      </w:r>
      <w:r w:rsidRPr="00575863">
        <w:rPr>
          <w:lang w:val="hr-BA"/>
        </w:rPr>
        <w:t xml:space="preserve"> što u odnosu na prihode </w:t>
      </w:r>
      <w:r>
        <w:rPr>
          <w:lang w:val="hr-BA"/>
        </w:rPr>
        <w:t>ostvarene</w:t>
      </w:r>
      <w:r w:rsidRPr="00575863">
        <w:rPr>
          <w:lang w:val="hr-BA"/>
        </w:rPr>
        <w:t xml:space="preserve"> za 20</w:t>
      </w:r>
      <w:r>
        <w:rPr>
          <w:lang w:val="hr-HR"/>
        </w:rPr>
        <w:t>17</w:t>
      </w:r>
      <w:r>
        <w:rPr>
          <w:lang w:val="hr-BA"/>
        </w:rPr>
        <w:t xml:space="preserve">. </w:t>
      </w:r>
      <w:r w:rsidR="005A354B">
        <w:rPr>
          <w:lang w:val="hr-BA"/>
        </w:rPr>
        <w:t>g</w:t>
      </w:r>
      <w:r>
        <w:rPr>
          <w:lang w:val="hr-BA"/>
        </w:rPr>
        <w:t xml:space="preserve">odinu </w:t>
      </w:r>
      <w:r w:rsidRPr="00575863">
        <w:rPr>
          <w:lang w:val="hr-BA"/>
        </w:rPr>
        <w:t xml:space="preserve">predstavlja </w:t>
      </w:r>
      <w:r>
        <w:rPr>
          <w:lang w:val="hr-HR"/>
        </w:rPr>
        <w:t>uvećanje</w:t>
      </w:r>
      <w:r w:rsidRPr="00575863">
        <w:rPr>
          <w:lang w:val="hr-BA"/>
        </w:rPr>
        <w:t xml:space="preserve"> od </w:t>
      </w:r>
      <w:r w:rsidR="004A11E1">
        <w:rPr>
          <w:lang w:val="hr-BA"/>
        </w:rPr>
        <w:t>5</w:t>
      </w:r>
      <w:r>
        <w:rPr>
          <w:lang w:val="hr-BA"/>
        </w:rPr>
        <w:t xml:space="preserve">,7 %. U </w:t>
      </w:r>
      <w:r w:rsidRPr="00A32812">
        <w:rPr>
          <w:lang w:val="hr-BA"/>
        </w:rPr>
        <w:t>tabeli</w:t>
      </w:r>
      <w:r w:rsidR="004A11E1" w:rsidRPr="00A32812">
        <w:rPr>
          <w:lang w:val="hr-BA"/>
        </w:rPr>
        <w:t xml:space="preserve"> </w:t>
      </w:r>
      <w:r w:rsidR="005A354B">
        <w:rPr>
          <w:lang w:val="hr-BA"/>
        </w:rPr>
        <w:t>i</w:t>
      </w:r>
      <w:r w:rsidRPr="00575863">
        <w:rPr>
          <w:lang w:val="hr-BA"/>
        </w:rPr>
        <w:t xml:space="preserve"> navedene su projekcije prihoda za Budžet </w:t>
      </w:r>
      <w:r>
        <w:rPr>
          <w:lang w:val="hr-BA"/>
        </w:rPr>
        <w:t>općine Zavidovići</w:t>
      </w:r>
      <w:r w:rsidRPr="00575863">
        <w:rPr>
          <w:lang w:val="hr-BA"/>
        </w:rPr>
        <w:t xml:space="preserve"> za period 20</w:t>
      </w:r>
      <w:r w:rsidR="004A11E1">
        <w:rPr>
          <w:lang w:val="hr-HR"/>
        </w:rPr>
        <w:t>19</w:t>
      </w:r>
      <w:r w:rsidRPr="00575863">
        <w:rPr>
          <w:lang w:val="hr-BA"/>
        </w:rPr>
        <w:t>.</w:t>
      </w:r>
      <w:r>
        <w:rPr>
          <w:lang w:val="hr-BA"/>
        </w:rPr>
        <w:t xml:space="preserve"> </w:t>
      </w:r>
      <w:r w:rsidR="00C36FCF">
        <w:rPr>
          <w:lang w:val="hr-BA"/>
        </w:rPr>
        <w:t>–</w:t>
      </w:r>
      <w:r>
        <w:rPr>
          <w:lang w:val="hr-BA"/>
        </w:rPr>
        <w:t xml:space="preserve"> 202</w:t>
      </w:r>
      <w:r w:rsidR="004A11E1">
        <w:rPr>
          <w:lang w:val="hr-BA"/>
        </w:rPr>
        <w:t>1</w:t>
      </w:r>
      <w:r w:rsidR="000A39A8">
        <w:rPr>
          <w:lang w:val="hr-BA"/>
        </w:rPr>
        <w:t xml:space="preserve">. </w:t>
      </w:r>
      <w:r w:rsidR="005A354B">
        <w:rPr>
          <w:lang w:val="hr-BA"/>
        </w:rPr>
        <w:t>g</w:t>
      </w:r>
      <w:r w:rsidR="000A39A8">
        <w:rPr>
          <w:lang w:val="hr-BA"/>
        </w:rPr>
        <w:t>odina</w:t>
      </w:r>
      <w:r w:rsidRPr="00575863">
        <w:rPr>
          <w:lang w:val="hr-BA"/>
        </w:rPr>
        <w:t xml:space="preserve"> u ukupno</w:t>
      </w:r>
      <w:r>
        <w:rPr>
          <w:lang w:val="hr-BA"/>
        </w:rPr>
        <w:t xml:space="preserve">m iznosu (budžetska sredstava, </w:t>
      </w:r>
      <w:r w:rsidRPr="00575863">
        <w:rPr>
          <w:lang w:val="hr-BA"/>
        </w:rPr>
        <w:t>pr</w:t>
      </w:r>
      <w:r>
        <w:rPr>
          <w:lang w:val="hr-BA"/>
        </w:rPr>
        <w:t>ihodi od sopstvene djelatnosti,</w:t>
      </w:r>
      <w:r w:rsidRPr="00575863">
        <w:rPr>
          <w:lang w:val="hr-BA"/>
        </w:rPr>
        <w:t xml:space="preserve"> namjenska sredstava</w:t>
      </w:r>
      <w:r>
        <w:rPr>
          <w:lang w:val="hr-BA"/>
        </w:rPr>
        <w:t xml:space="preserve"> i sredstva donacija</w:t>
      </w:r>
      <w:r w:rsidRPr="00575863">
        <w:rPr>
          <w:lang w:val="hr-BA"/>
        </w:rPr>
        <w:t>)</w:t>
      </w:r>
      <w:r>
        <w:rPr>
          <w:lang w:val="hr-BA"/>
        </w:rPr>
        <w:t xml:space="preserve"> koje su date od strane Službe za upravu ekonomskih poslova i poduzetništvo općine Zavidovići u dijelu neporeznih prihoda.</w:t>
      </w:r>
    </w:p>
    <w:p w:rsidR="009B208F" w:rsidRDefault="009B208F" w:rsidP="00FE655A">
      <w:pPr>
        <w:jc w:val="both"/>
        <w:rPr>
          <w:b/>
          <w:lang w:val="hr-BA"/>
        </w:rPr>
      </w:pPr>
    </w:p>
    <w:p w:rsidR="00B6443F" w:rsidRDefault="004F2C68" w:rsidP="004F2C68">
      <w:pPr>
        <w:pStyle w:val="Heading2-BFP"/>
        <w:tabs>
          <w:tab w:val="left" w:pos="720"/>
        </w:tabs>
        <w:spacing w:before="0" w:after="0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Odj</w:t>
      </w:r>
      <w:r w:rsidR="00085D86">
        <w:rPr>
          <w:rFonts w:ascii="Times New Roman" w:hAnsi="Times New Roman" w:cs="Times New Roman"/>
          <w:spacing w:val="-2"/>
          <w:sz w:val="24"/>
          <w:szCs w:val="24"/>
        </w:rPr>
        <w:t>eljak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6443F" w:rsidRPr="00575863">
        <w:rPr>
          <w:rFonts w:ascii="Times New Roman" w:hAnsi="Times New Roman" w:cs="Times New Roman"/>
          <w:spacing w:val="-2"/>
          <w:sz w:val="24"/>
          <w:szCs w:val="24"/>
        </w:rPr>
        <w:t xml:space="preserve">Indirektni porezi </w:t>
      </w:r>
      <w:bookmarkEnd w:id="0"/>
      <w:bookmarkEnd w:id="1"/>
      <w:bookmarkEnd w:id="2"/>
      <w:bookmarkEnd w:id="3"/>
    </w:p>
    <w:p w:rsidR="004F2C68" w:rsidRPr="00185315" w:rsidRDefault="004F2C68" w:rsidP="004F2C68">
      <w:pPr>
        <w:pStyle w:val="Heading2-BFP"/>
        <w:tabs>
          <w:tab w:val="left" w:pos="720"/>
        </w:tabs>
        <w:spacing w:before="0" w:after="0"/>
        <w:outlineLvl w:val="0"/>
        <w:rPr>
          <w:rFonts w:ascii="Times New Roman" w:hAnsi="Times New Roman" w:cs="Times New Roman"/>
          <w:spacing w:val="-2"/>
          <w:sz w:val="8"/>
          <w:szCs w:val="8"/>
        </w:rPr>
      </w:pPr>
    </w:p>
    <w:p w:rsidR="00B6443F" w:rsidRPr="00575863" w:rsidRDefault="00B6443F" w:rsidP="00A67F71">
      <w:pPr>
        <w:ind w:firstLine="720"/>
        <w:jc w:val="both"/>
        <w:rPr>
          <w:lang w:val="hr-HR"/>
        </w:rPr>
      </w:pPr>
      <w:r w:rsidRPr="00575863">
        <w:t>Prihodi</w:t>
      </w:r>
      <w:r w:rsidRPr="00575863">
        <w:rPr>
          <w:lang w:val="hr-HR"/>
        </w:rPr>
        <w:t xml:space="preserve"> </w:t>
      </w:r>
      <w:r w:rsidRPr="00575863">
        <w:t>prikupljeni</w:t>
      </w:r>
      <w:r w:rsidRPr="00575863">
        <w:rPr>
          <w:lang w:val="hr-HR"/>
        </w:rPr>
        <w:t xml:space="preserve"> </w:t>
      </w:r>
      <w:r w:rsidRPr="00575863">
        <w:t>po</w:t>
      </w:r>
      <w:r w:rsidRPr="00575863">
        <w:rPr>
          <w:lang w:val="hr-HR"/>
        </w:rPr>
        <w:t xml:space="preserve"> </w:t>
      </w:r>
      <w:r w:rsidRPr="00575863">
        <w:t>osnovu</w:t>
      </w:r>
      <w:r w:rsidRPr="00575863">
        <w:rPr>
          <w:lang w:val="hr-HR"/>
        </w:rPr>
        <w:t xml:space="preserve"> </w:t>
      </w:r>
      <w:r w:rsidRPr="00575863">
        <w:t>indirektnih</w:t>
      </w:r>
      <w:r w:rsidRPr="00575863">
        <w:rPr>
          <w:lang w:val="hr-HR"/>
        </w:rPr>
        <w:t xml:space="preserve"> </w:t>
      </w:r>
      <w:r w:rsidRPr="00575863">
        <w:t>poreza</w:t>
      </w:r>
      <w:r w:rsidR="00A67F71" w:rsidRPr="00575863">
        <w:rPr>
          <w:lang w:val="hr-HR"/>
        </w:rPr>
        <w:t xml:space="preserve"> (</w:t>
      </w:r>
      <w:r w:rsidRPr="00575863">
        <w:t>PDV</w:t>
      </w:r>
      <w:r w:rsidR="00CA3BDD" w:rsidRPr="00575863">
        <w:rPr>
          <w:lang w:val="hr-HR"/>
        </w:rPr>
        <w:t>-</w:t>
      </w:r>
      <w:r w:rsidRPr="00575863">
        <w:t>a</w:t>
      </w:r>
      <w:r w:rsidRPr="00575863">
        <w:rPr>
          <w:lang w:val="hr-HR"/>
        </w:rPr>
        <w:t xml:space="preserve">, </w:t>
      </w:r>
      <w:r w:rsidRPr="00575863">
        <w:t>carinskih</w:t>
      </w:r>
      <w:r w:rsidRPr="00575863">
        <w:rPr>
          <w:lang w:val="hr-HR"/>
        </w:rPr>
        <w:t xml:space="preserve"> </w:t>
      </w:r>
      <w:r w:rsidRPr="00575863">
        <w:t>i</w:t>
      </w:r>
      <w:r w:rsidRPr="00575863">
        <w:rPr>
          <w:lang w:val="hr-HR"/>
        </w:rPr>
        <w:t xml:space="preserve"> </w:t>
      </w:r>
      <w:r w:rsidRPr="00575863">
        <w:t>akciznih</w:t>
      </w:r>
      <w:r w:rsidRPr="00575863">
        <w:rPr>
          <w:lang w:val="hr-HR"/>
        </w:rPr>
        <w:t xml:space="preserve"> </w:t>
      </w:r>
      <w:r w:rsidRPr="00575863">
        <w:t>da</w:t>
      </w:r>
      <w:r w:rsidRPr="00575863">
        <w:rPr>
          <w:lang w:val="hr-HR"/>
        </w:rPr>
        <w:t>ž</w:t>
      </w:r>
      <w:r w:rsidRPr="00575863">
        <w:t>bina</w:t>
      </w:r>
      <w:r w:rsidRPr="00575863">
        <w:rPr>
          <w:lang w:val="hr-HR"/>
        </w:rPr>
        <w:t xml:space="preserve">) </w:t>
      </w:r>
      <w:r w:rsidRPr="00575863">
        <w:t>se</w:t>
      </w:r>
      <w:r w:rsidRPr="00575863">
        <w:rPr>
          <w:lang w:val="hr-HR"/>
        </w:rPr>
        <w:t xml:space="preserve"> </w:t>
      </w:r>
      <w:r w:rsidRPr="00575863">
        <w:t>upla</w:t>
      </w:r>
      <w:r w:rsidRPr="00575863">
        <w:rPr>
          <w:lang w:val="hr-HR"/>
        </w:rPr>
        <w:t>ć</w:t>
      </w:r>
      <w:r w:rsidRPr="00575863">
        <w:t>uju</w:t>
      </w:r>
      <w:r w:rsidRPr="00575863">
        <w:rPr>
          <w:lang w:val="hr-HR"/>
        </w:rPr>
        <w:t xml:space="preserve"> </w:t>
      </w:r>
      <w:r w:rsidRPr="00575863">
        <w:t>na</w:t>
      </w:r>
      <w:r w:rsidRPr="00575863">
        <w:rPr>
          <w:lang w:val="hr-HR"/>
        </w:rPr>
        <w:t xml:space="preserve"> </w:t>
      </w:r>
      <w:r w:rsidRPr="00575863">
        <w:t>Jedinstveni</w:t>
      </w:r>
      <w:r w:rsidRPr="00575863">
        <w:rPr>
          <w:lang w:val="hr-HR"/>
        </w:rPr>
        <w:t xml:space="preserve"> </w:t>
      </w:r>
      <w:r w:rsidRPr="00575863">
        <w:t>ra</w:t>
      </w:r>
      <w:r w:rsidRPr="00575863">
        <w:rPr>
          <w:lang w:val="hr-HR"/>
        </w:rPr>
        <w:t>č</w:t>
      </w:r>
      <w:r w:rsidRPr="00575863">
        <w:t>un</w:t>
      </w:r>
      <w:r w:rsidRPr="00575863">
        <w:rPr>
          <w:lang w:val="hr-HR"/>
        </w:rPr>
        <w:t xml:space="preserve"> </w:t>
      </w:r>
      <w:r w:rsidRPr="00575863">
        <w:t>Uprave</w:t>
      </w:r>
      <w:r w:rsidRPr="00575863">
        <w:rPr>
          <w:lang w:val="hr-HR"/>
        </w:rPr>
        <w:t xml:space="preserve"> </w:t>
      </w:r>
      <w:r w:rsidRPr="00575863">
        <w:t>za</w:t>
      </w:r>
      <w:r w:rsidRPr="00575863">
        <w:rPr>
          <w:lang w:val="hr-HR"/>
        </w:rPr>
        <w:t xml:space="preserve"> </w:t>
      </w:r>
      <w:r w:rsidRPr="00575863">
        <w:t>indirektno</w:t>
      </w:r>
      <w:r w:rsidRPr="00575863">
        <w:rPr>
          <w:lang w:val="hr-HR"/>
        </w:rPr>
        <w:t xml:space="preserve"> </w:t>
      </w:r>
      <w:r w:rsidRPr="00575863">
        <w:t>oporezivanje</w:t>
      </w:r>
      <w:r w:rsidRPr="00575863">
        <w:rPr>
          <w:lang w:val="hr-HR"/>
        </w:rPr>
        <w:t xml:space="preserve"> </w:t>
      </w:r>
      <w:r w:rsidRPr="00575863">
        <w:t>nakon</w:t>
      </w:r>
      <w:r w:rsidRPr="00575863">
        <w:rPr>
          <w:lang w:val="hr-HR"/>
        </w:rPr>
        <w:t xml:space="preserve"> č</w:t>
      </w:r>
      <w:r w:rsidRPr="00575863">
        <w:t>ega</w:t>
      </w:r>
      <w:r w:rsidRPr="00575863">
        <w:rPr>
          <w:lang w:val="hr-HR"/>
        </w:rPr>
        <w:t xml:space="preserve"> </w:t>
      </w:r>
      <w:r w:rsidRPr="00575863">
        <w:t>se</w:t>
      </w:r>
      <w:r w:rsidRPr="00575863">
        <w:rPr>
          <w:lang w:val="hr-HR"/>
        </w:rPr>
        <w:t xml:space="preserve"> </w:t>
      </w:r>
      <w:r w:rsidRPr="00575863">
        <w:t>raspodjeljuju</w:t>
      </w:r>
      <w:r w:rsidRPr="00575863">
        <w:rPr>
          <w:lang w:val="hr-HR"/>
        </w:rPr>
        <w:t xml:space="preserve"> </w:t>
      </w:r>
      <w:r w:rsidR="00FE37CB">
        <w:t>kako</w:t>
      </w:r>
      <w:r w:rsidR="00FE37CB" w:rsidRPr="00FE37CB">
        <w:rPr>
          <w:lang w:val="hr-HR"/>
        </w:rPr>
        <w:t xml:space="preserve"> </w:t>
      </w:r>
      <w:r w:rsidR="00FE37CB">
        <w:t>slijedi</w:t>
      </w:r>
      <w:r w:rsidRPr="00575863">
        <w:rPr>
          <w:lang w:val="hr-HR"/>
        </w:rPr>
        <w:t xml:space="preserve">: </w:t>
      </w:r>
    </w:p>
    <w:p w:rsidR="00B6443F" w:rsidRPr="00575863" w:rsidRDefault="00CA3BDD">
      <w:pPr>
        <w:numPr>
          <w:ilvl w:val="0"/>
          <w:numId w:val="4"/>
        </w:numPr>
        <w:jc w:val="both"/>
        <w:rPr>
          <w:lang w:val="hr-HR"/>
        </w:rPr>
      </w:pPr>
      <w:r w:rsidRPr="00575863">
        <w:t>R</w:t>
      </w:r>
      <w:r w:rsidR="00B6443F" w:rsidRPr="00575863">
        <w:t>aspodjela</w:t>
      </w:r>
      <w:r w:rsidR="00B6443F" w:rsidRPr="00575863">
        <w:rPr>
          <w:lang w:val="hr-HR"/>
        </w:rPr>
        <w:t xml:space="preserve"> </w:t>
      </w:r>
      <w:r w:rsidR="00B6443F" w:rsidRPr="00575863">
        <w:t>na</w:t>
      </w:r>
      <w:r w:rsidR="00B6443F" w:rsidRPr="00575863">
        <w:rPr>
          <w:lang w:val="hr-HR"/>
        </w:rPr>
        <w:t xml:space="preserve"> </w:t>
      </w:r>
      <w:r w:rsidR="00B6443F" w:rsidRPr="00575863">
        <w:t>ra</w:t>
      </w:r>
      <w:r w:rsidR="00B6443F" w:rsidRPr="00575863">
        <w:rPr>
          <w:lang w:val="hr-HR"/>
        </w:rPr>
        <w:t>č</w:t>
      </w:r>
      <w:r w:rsidR="00B6443F" w:rsidRPr="00575863">
        <w:t>un</w:t>
      </w:r>
      <w:r w:rsidR="00B6443F" w:rsidRPr="00575863">
        <w:rPr>
          <w:lang w:val="hr-HR"/>
        </w:rPr>
        <w:t xml:space="preserve"> </w:t>
      </w:r>
      <w:r w:rsidR="00B6443F" w:rsidRPr="00575863">
        <w:t>rezervi</w:t>
      </w:r>
      <w:r w:rsidR="00B6443F" w:rsidRPr="00575863">
        <w:rPr>
          <w:lang w:val="hr-HR"/>
        </w:rPr>
        <w:t xml:space="preserve">, </w:t>
      </w:r>
    </w:p>
    <w:p w:rsidR="00B6443F" w:rsidRDefault="00CA3BDD">
      <w:pPr>
        <w:numPr>
          <w:ilvl w:val="0"/>
          <w:numId w:val="4"/>
        </w:numPr>
        <w:jc w:val="both"/>
        <w:rPr>
          <w:lang w:val="hr-HR"/>
        </w:rPr>
      </w:pPr>
      <w:r w:rsidRPr="003B22FE">
        <w:rPr>
          <w:lang w:val="pl-PL"/>
        </w:rPr>
        <w:t>R</w:t>
      </w:r>
      <w:r w:rsidR="00B6443F" w:rsidRPr="003B22FE">
        <w:rPr>
          <w:lang w:val="pl-PL"/>
        </w:rPr>
        <w:t>aspodjela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sredstava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za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potrebno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finansiranje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institucija</w:t>
      </w:r>
      <w:r w:rsidR="00B6443F" w:rsidRPr="00575863">
        <w:rPr>
          <w:lang w:val="hr-HR"/>
        </w:rPr>
        <w:t xml:space="preserve"> </w:t>
      </w:r>
      <w:r w:rsidR="00E60D66">
        <w:rPr>
          <w:lang w:val="pl-PL"/>
        </w:rPr>
        <w:t>Bosne i Hercegovine</w:t>
      </w:r>
      <w:r w:rsidR="00B6443F" w:rsidRPr="00575863">
        <w:rPr>
          <w:lang w:val="hr-HR"/>
        </w:rPr>
        <w:t xml:space="preserve">, </w:t>
      </w:r>
    </w:p>
    <w:p w:rsidR="00B84529" w:rsidRPr="00575863" w:rsidRDefault="00B84529">
      <w:pPr>
        <w:numPr>
          <w:ilvl w:val="0"/>
          <w:numId w:val="4"/>
        </w:numPr>
        <w:jc w:val="both"/>
        <w:rPr>
          <w:lang w:val="hr-HR"/>
        </w:rPr>
      </w:pPr>
      <w:r w:rsidRPr="00575863">
        <w:t>Ot</w:t>
      </w:r>
      <w:r w:rsidR="00A3066E">
        <w:t>plat</w:t>
      </w:r>
      <w:r w:rsidR="0096450B">
        <w:t>a</w:t>
      </w:r>
      <w:r w:rsidRPr="00575863">
        <w:rPr>
          <w:lang w:val="hr-HR"/>
        </w:rPr>
        <w:t xml:space="preserve"> </w:t>
      </w:r>
      <w:r w:rsidRPr="00575863">
        <w:t>vanjskog</w:t>
      </w:r>
      <w:r w:rsidRPr="00575863">
        <w:rPr>
          <w:lang w:val="hr-HR"/>
        </w:rPr>
        <w:t xml:space="preserve"> </w:t>
      </w:r>
      <w:r w:rsidRPr="00575863">
        <w:t>duga</w:t>
      </w:r>
      <w:r>
        <w:t>,</w:t>
      </w:r>
    </w:p>
    <w:p w:rsidR="00B6443F" w:rsidRPr="00575863" w:rsidRDefault="00CA3BDD" w:rsidP="00DF70D5">
      <w:pPr>
        <w:numPr>
          <w:ilvl w:val="0"/>
          <w:numId w:val="4"/>
        </w:numPr>
        <w:jc w:val="both"/>
        <w:rPr>
          <w:lang w:val="hr-HR"/>
        </w:rPr>
      </w:pPr>
      <w:r w:rsidRPr="003B22FE">
        <w:rPr>
          <w:lang w:val="pl-PL"/>
        </w:rPr>
        <w:t>R</w:t>
      </w:r>
      <w:r w:rsidR="00B6443F" w:rsidRPr="003B22FE">
        <w:rPr>
          <w:lang w:val="pl-PL"/>
        </w:rPr>
        <w:t>aspodjela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prihoda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izme</w:t>
      </w:r>
      <w:r w:rsidR="00B6443F" w:rsidRPr="00575863">
        <w:rPr>
          <w:lang w:val="hr-HR"/>
        </w:rPr>
        <w:t>đ</w:t>
      </w:r>
      <w:r w:rsidR="00B6443F" w:rsidRPr="003B22FE">
        <w:rPr>
          <w:lang w:val="pl-PL"/>
        </w:rPr>
        <w:t>u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entiteta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i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Br</w:t>
      </w:r>
      <w:r w:rsidR="00B6443F" w:rsidRPr="00575863">
        <w:rPr>
          <w:lang w:val="hr-HR"/>
        </w:rPr>
        <w:t>č</w:t>
      </w:r>
      <w:r w:rsidR="00B6443F" w:rsidRPr="003B22FE">
        <w:rPr>
          <w:lang w:val="pl-PL"/>
        </w:rPr>
        <w:t>ko</w:t>
      </w:r>
      <w:r w:rsidR="00B6443F" w:rsidRPr="00575863">
        <w:rPr>
          <w:lang w:val="hr-HR"/>
        </w:rPr>
        <w:t xml:space="preserve"> </w:t>
      </w:r>
      <w:r w:rsidR="00B6443F" w:rsidRPr="003B22FE">
        <w:rPr>
          <w:lang w:val="pl-PL"/>
        </w:rPr>
        <w:t>Distrikta</w:t>
      </w:r>
      <w:r w:rsidR="00FD2BDF">
        <w:rPr>
          <w:lang w:val="pl-PL"/>
        </w:rPr>
        <w:t>.</w:t>
      </w:r>
    </w:p>
    <w:p w:rsidR="00B6443F" w:rsidRPr="00575863" w:rsidRDefault="00B6443F">
      <w:pPr>
        <w:ind w:firstLine="720"/>
        <w:jc w:val="both"/>
        <w:rPr>
          <w:lang w:val="hr-HR"/>
        </w:rPr>
      </w:pPr>
      <w:r w:rsidRPr="00575863">
        <w:t>Nakon</w:t>
      </w:r>
      <w:r w:rsidRPr="00575863">
        <w:rPr>
          <w:lang w:val="hr-HR"/>
        </w:rPr>
        <w:t xml:space="preserve"> </w:t>
      </w:r>
      <w:r w:rsidRPr="00575863">
        <w:t>raspodjele</w:t>
      </w:r>
      <w:r w:rsidRPr="00575863">
        <w:rPr>
          <w:lang w:val="hr-HR"/>
        </w:rPr>
        <w:t xml:space="preserve"> </w:t>
      </w:r>
      <w:r w:rsidRPr="00575863">
        <w:t>sredstava</w:t>
      </w:r>
      <w:r w:rsidRPr="00575863">
        <w:rPr>
          <w:lang w:val="hr-HR"/>
        </w:rPr>
        <w:t xml:space="preserve"> </w:t>
      </w:r>
      <w:r w:rsidRPr="00575863">
        <w:t>za</w:t>
      </w:r>
      <w:r w:rsidRPr="00575863">
        <w:rPr>
          <w:lang w:val="hr-HR"/>
        </w:rPr>
        <w:t xml:space="preserve"> </w:t>
      </w:r>
      <w:r w:rsidRPr="00575863">
        <w:t>otplatu</w:t>
      </w:r>
      <w:r w:rsidRPr="00575863">
        <w:rPr>
          <w:lang w:val="hr-HR"/>
        </w:rPr>
        <w:t xml:space="preserve"> </w:t>
      </w:r>
      <w:r w:rsidRPr="00575863">
        <w:t>vanjskog</w:t>
      </w:r>
      <w:r w:rsidRPr="00575863">
        <w:rPr>
          <w:lang w:val="hr-HR"/>
        </w:rPr>
        <w:t xml:space="preserve"> </w:t>
      </w:r>
      <w:r w:rsidRPr="00575863">
        <w:t>duga</w:t>
      </w:r>
      <w:r w:rsidRPr="00575863">
        <w:rPr>
          <w:lang w:val="hr-HR"/>
        </w:rPr>
        <w:t xml:space="preserve">, </w:t>
      </w:r>
      <w:r w:rsidRPr="00575863">
        <w:t>preostalo</w:t>
      </w:r>
      <w:r w:rsidRPr="00575863">
        <w:rPr>
          <w:lang w:val="hr-HR"/>
        </w:rPr>
        <w:t xml:space="preserve"> </w:t>
      </w:r>
      <w:r w:rsidRPr="00575863">
        <w:t>se</w:t>
      </w:r>
      <w:r w:rsidRPr="00575863">
        <w:rPr>
          <w:lang w:val="hr-HR"/>
        </w:rPr>
        <w:t xml:space="preserve"> </w:t>
      </w:r>
      <w:r w:rsidRPr="00575863">
        <w:t>raspodjeljuje</w:t>
      </w:r>
      <w:r w:rsidRPr="00575863">
        <w:rPr>
          <w:lang w:val="hr-HR"/>
        </w:rPr>
        <w:t xml:space="preserve"> </w:t>
      </w:r>
      <w:r w:rsidRPr="00575863">
        <w:t>izme</w:t>
      </w:r>
      <w:r w:rsidRPr="00575863">
        <w:rPr>
          <w:lang w:val="hr-HR"/>
        </w:rPr>
        <w:t>đ</w:t>
      </w:r>
      <w:r w:rsidRPr="00575863">
        <w:t>u</w:t>
      </w:r>
      <w:r w:rsidRPr="00575863">
        <w:rPr>
          <w:lang w:val="hr-HR"/>
        </w:rPr>
        <w:t xml:space="preserve"> </w:t>
      </w:r>
      <w:r w:rsidRPr="00575863">
        <w:t>entiteta</w:t>
      </w:r>
      <w:r w:rsidRPr="00575863">
        <w:rPr>
          <w:lang w:val="hr-HR"/>
        </w:rPr>
        <w:t xml:space="preserve"> </w:t>
      </w:r>
      <w:r w:rsidRPr="00575863">
        <w:t>i</w:t>
      </w:r>
      <w:r w:rsidRPr="00575863">
        <w:rPr>
          <w:lang w:val="hr-HR"/>
        </w:rPr>
        <w:t xml:space="preserve"> </w:t>
      </w:r>
      <w:r w:rsidRPr="00575863">
        <w:t>ni</w:t>
      </w:r>
      <w:r w:rsidRPr="00575863">
        <w:rPr>
          <w:lang w:val="hr-HR"/>
        </w:rPr>
        <w:t>ž</w:t>
      </w:r>
      <w:r w:rsidRPr="00575863">
        <w:t>ih</w:t>
      </w:r>
      <w:r w:rsidRPr="00575863">
        <w:rPr>
          <w:lang w:val="hr-HR"/>
        </w:rPr>
        <w:t xml:space="preserve"> </w:t>
      </w:r>
      <w:r w:rsidRPr="00575863">
        <w:t>nivoa</w:t>
      </w:r>
      <w:r w:rsidRPr="00575863">
        <w:rPr>
          <w:lang w:val="hr-HR"/>
        </w:rPr>
        <w:t xml:space="preserve"> </w:t>
      </w:r>
      <w:r w:rsidRPr="00575863">
        <w:t>vlasti</w:t>
      </w:r>
      <w:r w:rsidRPr="00575863">
        <w:rPr>
          <w:lang w:val="hr-HR"/>
        </w:rPr>
        <w:t xml:space="preserve">. </w:t>
      </w:r>
    </w:p>
    <w:p w:rsidR="00E4093A" w:rsidRPr="00575863" w:rsidRDefault="00B6443F" w:rsidP="003B70C8">
      <w:pPr>
        <w:ind w:firstLine="720"/>
        <w:jc w:val="both"/>
        <w:rPr>
          <w:lang w:val="hr-HR"/>
        </w:rPr>
      </w:pPr>
      <w:r w:rsidRPr="00575863">
        <w:t>U</w:t>
      </w:r>
      <w:r w:rsidRPr="00575863">
        <w:rPr>
          <w:lang w:val="hr-HR"/>
        </w:rPr>
        <w:t xml:space="preserve"> </w:t>
      </w:r>
      <w:r w:rsidRPr="00575863">
        <w:t>skladu</w:t>
      </w:r>
      <w:r w:rsidRPr="00575863">
        <w:rPr>
          <w:lang w:val="hr-HR"/>
        </w:rPr>
        <w:t xml:space="preserve"> </w:t>
      </w:r>
      <w:r w:rsidRPr="00575863">
        <w:t>sa</w:t>
      </w:r>
      <w:r w:rsidRPr="00575863">
        <w:rPr>
          <w:lang w:val="hr-HR"/>
        </w:rPr>
        <w:t xml:space="preserve"> </w:t>
      </w:r>
      <w:r w:rsidR="0003577E">
        <w:t>Zakonom</w:t>
      </w:r>
      <w:r w:rsidRPr="00575863">
        <w:rPr>
          <w:lang w:val="hr-HR"/>
        </w:rPr>
        <w:t xml:space="preserve"> </w:t>
      </w:r>
      <w:r w:rsidRPr="00575863">
        <w:t>o</w:t>
      </w:r>
      <w:r w:rsidRPr="00575863">
        <w:rPr>
          <w:lang w:val="hr-HR"/>
        </w:rPr>
        <w:t xml:space="preserve"> </w:t>
      </w:r>
      <w:r w:rsidRPr="00575863">
        <w:t>pripadnosti</w:t>
      </w:r>
      <w:r w:rsidRPr="00575863">
        <w:rPr>
          <w:lang w:val="hr-HR"/>
        </w:rPr>
        <w:t xml:space="preserve"> </w:t>
      </w:r>
      <w:r w:rsidRPr="00575863">
        <w:t>javnih</w:t>
      </w:r>
      <w:r w:rsidRPr="00575863">
        <w:rPr>
          <w:lang w:val="hr-HR"/>
        </w:rPr>
        <w:t xml:space="preserve"> </w:t>
      </w:r>
      <w:r w:rsidRPr="00575863">
        <w:t>prihoda</w:t>
      </w:r>
      <w:r w:rsidRPr="00575863">
        <w:rPr>
          <w:lang w:val="hr-HR"/>
        </w:rPr>
        <w:t xml:space="preserve"> </w:t>
      </w:r>
      <w:r w:rsidRPr="00575863">
        <w:t>u</w:t>
      </w:r>
      <w:r w:rsidRPr="00575863">
        <w:rPr>
          <w:lang w:val="hr-HR"/>
        </w:rPr>
        <w:t xml:space="preserve"> </w:t>
      </w:r>
      <w:r w:rsidRPr="00575863">
        <w:t>FBiH</w:t>
      </w:r>
      <w:r w:rsidR="00737625">
        <w:rPr>
          <w:lang w:val="hr-HR"/>
        </w:rPr>
        <w:t xml:space="preserve"> („Službene novine FBiH“ </w:t>
      </w:r>
      <w:r w:rsidR="00A67F71" w:rsidRPr="00575863">
        <w:rPr>
          <w:lang w:val="hr-HR"/>
        </w:rPr>
        <w:t>broj</w:t>
      </w:r>
      <w:r w:rsidR="00A3066E">
        <w:rPr>
          <w:lang w:val="hr-HR"/>
        </w:rPr>
        <w:t>:</w:t>
      </w:r>
      <w:r w:rsidR="00A67F71" w:rsidRPr="00575863">
        <w:rPr>
          <w:lang w:val="hr-HR"/>
        </w:rPr>
        <w:t xml:space="preserve"> </w:t>
      </w:r>
      <w:r w:rsidR="00B84529">
        <w:rPr>
          <w:lang w:val="hr-HR"/>
        </w:rPr>
        <w:t xml:space="preserve">22/06, 43/08, </w:t>
      </w:r>
      <w:r w:rsidR="00A67F71" w:rsidRPr="00AC277F">
        <w:rPr>
          <w:lang w:val="hr-HR"/>
        </w:rPr>
        <w:t>22/09</w:t>
      </w:r>
      <w:r w:rsidR="00AA4927">
        <w:rPr>
          <w:lang w:val="hr-HR"/>
        </w:rPr>
        <w:t xml:space="preserve">, </w:t>
      </w:r>
      <w:r w:rsidR="00B84529">
        <w:rPr>
          <w:lang w:val="hr-HR"/>
        </w:rPr>
        <w:t>35/14</w:t>
      </w:r>
      <w:r w:rsidR="00AA4927">
        <w:rPr>
          <w:lang w:val="hr-HR"/>
        </w:rPr>
        <w:t xml:space="preserve"> i 94/15</w:t>
      </w:r>
      <w:r w:rsidRPr="00575863">
        <w:rPr>
          <w:lang w:val="hr-HR"/>
        </w:rPr>
        <w:t xml:space="preserve">) </w:t>
      </w:r>
      <w:r w:rsidRPr="00575863">
        <w:t>prihodi</w:t>
      </w:r>
      <w:r w:rsidRPr="00575863">
        <w:rPr>
          <w:lang w:val="hr-HR"/>
        </w:rPr>
        <w:t xml:space="preserve"> </w:t>
      </w:r>
      <w:r w:rsidRPr="00575863">
        <w:t>sa</w:t>
      </w:r>
      <w:r w:rsidRPr="00575863">
        <w:rPr>
          <w:lang w:val="hr-HR"/>
        </w:rPr>
        <w:t xml:space="preserve"> </w:t>
      </w:r>
      <w:r w:rsidR="00E4093A">
        <w:t>J</w:t>
      </w:r>
      <w:r w:rsidRPr="00575863">
        <w:t>edinstvenog</w:t>
      </w:r>
      <w:r w:rsidRPr="00575863">
        <w:rPr>
          <w:lang w:val="hr-HR"/>
        </w:rPr>
        <w:t xml:space="preserve"> </w:t>
      </w:r>
      <w:r w:rsidRPr="00575863">
        <w:t>ra</w:t>
      </w:r>
      <w:r w:rsidRPr="00575863">
        <w:rPr>
          <w:lang w:val="hr-HR"/>
        </w:rPr>
        <w:t>č</w:t>
      </w:r>
      <w:r w:rsidRPr="00575863">
        <w:t>una</w:t>
      </w:r>
      <w:r w:rsidRPr="00575863">
        <w:rPr>
          <w:lang w:val="hr-HR"/>
        </w:rPr>
        <w:t xml:space="preserve"> </w:t>
      </w:r>
      <w:r w:rsidRPr="00575863">
        <w:t>se</w:t>
      </w:r>
      <w:r w:rsidRPr="00575863">
        <w:rPr>
          <w:lang w:val="hr-HR"/>
        </w:rPr>
        <w:t xml:space="preserve"> </w:t>
      </w:r>
      <w:r w:rsidRPr="00575863">
        <w:t>dijele</w:t>
      </w:r>
      <w:r w:rsidRPr="00575863">
        <w:rPr>
          <w:lang w:val="hr-HR"/>
        </w:rPr>
        <w:t xml:space="preserve"> </w:t>
      </w:r>
      <w:r w:rsidRPr="00575863">
        <w:t>kako</w:t>
      </w:r>
      <w:r w:rsidRPr="00575863">
        <w:rPr>
          <w:lang w:val="hr-HR"/>
        </w:rPr>
        <w:t xml:space="preserve"> </w:t>
      </w:r>
      <w:r w:rsidRPr="00575863">
        <w:t>slijedi</w:t>
      </w:r>
      <w:r w:rsidRPr="00575863">
        <w:rPr>
          <w:lang w:val="hr-HR"/>
        </w:rPr>
        <w:t>:</w:t>
      </w:r>
    </w:p>
    <w:p w:rsidR="00B6443F" w:rsidRPr="00575863" w:rsidRDefault="00A67F71">
      <w:pPr>
        <w:numPr>
          <w:ilvl w:val="0"/>
          <w:numId w:val="3"/>
        </w:numPr>
        <w:jc w:val="both"/>
      </w:pPr>
      <w:r w:rsidRPr="00575863">
        <w:t>F</w:t>
      </w:r>
      <w:r w:rsidR="00B6443F" w:rsidRPr="00575863">
        <w:t>inansiranje funkcija Federacije                                                 36,20 %</w:t>
      </w:r>
    </w:p>
    <w:p w:rsidR="00B6443F" w:rsidRPr="00575863" w:rsidRDefault="00A67F71">
      <w:pPr>
        <w:numPr>
          <w:ilvl w:val="0"/>
          <w:numId w:val="3"/>
        </w:numPr>
        <w:jc w:val="both"/>
      </w:pPr>
      <w:r w:rsidRPr="00575863">
        <w:t>F</w:t>
      </w:r>
      <w:r w:rsidR="00B6443F" w:rsidRPr="00575863">
        <w:t xml:space="preserve">inansiranje funkcija kantona                          </w:t>
      </w:r>
      <w:r w:rsidR="00D03C12">
        <w:t xml:space="preserve">                           51,23</w:t>
      </w:r>
      <w:r w:rsidR="00B6443F" w:rsidRPr="00575863">
        <w:t xml:space="preserve"> %</w:t>
      </w:r>
    </w:p>
    <w:p w:rsidR="00B6443F" w:rsidRDefault="00A67F71">
      <w:pPr>
        <w:numPr>
          <w:ilvl w:val="0"/>
          <w:numId w:val="3"/>
        </w:numPr>
        <w:jc w:val="both"/>
        <w:rPr>
          <w:lang w:val="pl-PL"/>
        </w:rPr>
      </w:pPr>
      <w:r w:rsidRPr="003B22FE">
        <w:rPr>
          <w:lang w:val="pl-PL"/>
        </w:rPr>
        <w:t>F</w:t>
      </w:r>
      <w:r w:rsidR="00B6443F" w:rsidRPr="003B22FE">
        <w:rPr>
          <w:lang w:val="pl-PL"/>
        </w:rPr>
        <w:t>inansiranje funkcija jedinica lokalne samouprave                      8,42 %</w:t>
      </w:r>
    </w:p>
    <w:p w:rsidR="00D03C12" w:rsidRPr="003B22FE" w:rsidRDefault="00D03C12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Finansiranje funkcija grada Sarajeva                                            0,25%</w:t>
      </w:r>
    </w:p>
    <w:p w:rsidR="00B6443F" w:rsidRPr="00575863" w:rsidRDefault="00A67F71">
      <w:pPr>
        <w:numPr>
          <w:ilvl w:val="0"/>
          <w:numId w:val="3"/>
        </w:numPr>
        <w:jc w:val="both"/>
      </w:pPr>
      <w:r w:rsidRPr="00575863">
        <w:t>D</w:t>
      </w:r>
      <w:r w:rsidR="00A45349">
        <w:t>irekcije</w:t>
      </w:r>
      <w:r w:rsidR="00B6443F" w:rsidRPr="00575863">
        <w:t xml:space="preserve"> za ceste                                                                        </w:t>
      </w:r>
      <w:r w:rsidRPr="00575863">
        <w:t xml:space="preserve"> </w:t>
      </w:r>
      <w:r w:rsidR="00AC277F">
        <w:t xml:space="preserve"> </w:t>
      </w:r>
      <w:r w:rsidR="00B6443F" w:rsidRPr="00575863">
        <w:t>3,90 %</w:t>
      </w:r>
    </w:p>
    <w:p w:rsidR="00E37ED6" w:rsidRPr="002B27AC" w:rsidRDefault="00E37ED6">
      <w:pPr>
        <w:jc w:val="both"/>
        <w:rPr>
          <w:color w:val="000000"/>
          <w:lang w:val="pl-PL"/>
        </w:rPr>
      </w:pPr>
    </w:p>
    <w:p w:rsidR="003B70C8" w:rsidRDefault="00494AB5">
      <w:pPr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Tabela 9</w:t>
      </w:r>
      <w:r w:rsidR="003B70C8" w:rsidRPr="00355064">
        <w:rPr>
          <w:b/>
          <w:color w:val="000000"/>
          <w:lang w:val="pl-PL"/>
        </w:rPr>
        <w:t xml:space="preserve">. Projekcija prihoda od </w:t>
      </w:r>
      <w:r w:rsidR="00B84529">
        <w:rPr>
          <w:b/>
          <w:color w:val="000000"/>
          <w:lang w:val="pl-PL"/>
        </w:rPr>
        <w:t>indirektnih poreza</w:t>
      </w:r>
      <w:r>
        <w:rPr>
          <w:b/>
          <w:color w:val="000000"/>
          <w:lang w:val="pl-PL"/>
        </w:rPr>
        <w:t xml:space="preserve"> (bez namjenskih pr</w:t>
      </w:r>
      <w:r w:rsidR="007C1058">
        <w:rPr>
          <w:b/>
          <w:color w:val="000000"/>
          <w:lang w:val="pl-PL"/>
        </w:rPr>
        <w:t>ihoda Direkcija cesta)</w:t>
      </w:r>
      <w:r w:rsidR="00B84529">
        <w:rPr>
          <w:b/>
          <w:color w:val="000000"/>
          <w:lang w:val="pl-PL"/>
        </w:rPr>
        <w:t xml:space="preserve"> za Zeničko-dobojski </w:t>
      </w:r>
      <w:r w:rsidR="00321B50" w:rsidRPr="00355064">
        <w:rPr>
          <w:b/>
          <w:color w:val="000000"/>
          <w:lang w:val="pl-PL"/>
        </w:rPr>
        <w:t>kanton i općine Zeničko-dobojskog kantona</w:t>
      </w:r>
      <w:r w:rsidR="00526929">
        <w:rPr>
          <w:b/>
          <w:color w:val="000000"/>
          <w:lang w:val="pl-PL"/>
        </w:rPr>
        <w:t xml:space="preserve"> za 2019</w:t>
      </w:r>
      <w:r w:rsidR="00321B50" w:rsidRPr="00355064">
        <w:rPr>
          <w:b/>
          <w:color w:val="000000"/>
          <w:lang w:val="pl-PL"/>
        </w:rPr>
        <w:t>.</w:t>
      </w:r>
      <w:r w:rsidR="00BC20E3">
        <w:rPr>
          <w:b/>
          <w:color w:val="000000"/>
          <w:lang w:val="pl-PL"/>
        </w:rPr>
        <w:t xml:space="preserve"> </w:t>
      </w:r>
      <w:r w:rsidR="00C36FCF">
        <w:rPr>
          <w:b/>
          <w:color w:val="000000"/>
          <w:lang w:val="pl-PL"/>
        </w:rPr>
        <w:t>–</w:t>
      </w:r>
      <w:r w:rsidR="00BC20E3">
        <w:rPr>
          <w:b/>
          <w:color w:val="000000"/>
          <w:lang w:val="pl-PL"/>
        </w:rPr>
        <w:t xml:space="preserve"> </w:t>
      </w:r>
      <w:r w:rsidR="00526929">
        <w:rPr>
          <w:b/>
          <w:color w:val="000000"/>
          <w:lang w:val="pl-PL"/>
        </w:rPr>
        <w:t>2021</w:t>
      </w:r>
      <w:r w:rsidR="00321B50" w:rsidRPr="00355064">
        <w:rPr>
          <w:b/>
          <w:color w:val="000000"/>
          <w:lang w:val="pl-PL"/>
        </w:rPr>
        <w:t xml:space="preserve">. </w:t>
      </w:r>
      <w:r w:rsidR="005A354B">
        <w:rPr>
          <w:b/>
          <w:color w:val="000000"/>
          <w:lang w:val="pl-PL"/>
        </w:rPr>
        <w:t>g</w:t>
      </w:r>
      <w:r w:rsidR="00321B50" w:rsidRPr="00355064">
        <w:rPr>
          <w:b/>
          <w:color w:val="000000"/>
          <w:lang w:val="pl-PL"/>
        </w:rPr>
        <w:t>odinu</w:t>
      </w:r>
    </w:p>
    <w:p w:rsidR="0003508E" w:rsidRPr="00FE37CB" w:rsidRDefault="0003508E">
      <w:pPr>
        <w:jc w:val="both"/>
        <w:rPr>
          <w:color w:val="000000"/>
          <w:lang w:val="pl-PL"/>
        </w:rPr>
      </w:pPr>
    </w:p>
    <w:tbl>
      <w:tblPr>
        <w:tblW w:w="9860" w:type="dxa"/>
        <w:jc w:val="center"/>
        <w:tblInd w:w="100" w:type="dxa"/>
        <w:tblLook w:val="04A0"/>
      </w:tblPr>
      <w:tblGrid>
        <w:gridCol w:w="3360"/>
        <w:gridCol w:w="1416"/>
        <w:gridCol w:w="1416"/>
        <w:gridCol w:w="1416"/>
        <w:gridCol w:w="1416"/>
        <w:gridCol w:w="1416"/>
      </w:tblGrid>
      <w:tr w:rsidR="007C1058" w:rsidTr="007C1058">
        <w:trPr>
          <w:trHeight w:val="315"/>
          <w:jc w:val="center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Zeničko-dobojski kanton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Izvršenje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Projekcije 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058" w:rsidRDefault="007C1058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8A444E">
              <w:rPr>
                <w:b/>
                <w:bCs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8A444E">
              <w:rPr>
                <w:b/>
                <w:bCs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8A444E">
              <w:rPr>
                <w:b/>
                <w:bCs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8A444E">
              <w:rPr>
                <w:b/>
                <w:bCs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8A444E">
              <w:rPr>
                <w:b/>
                <w:bCs/>
              </w:rPr>
              <w:t>.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058" w:rsidRDefault="007C1058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207.959.388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221.214.472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232.701.313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247.071.598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256.274.816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rPr>
                <w:b/>
                <w:bCs/>
              </w:rPr>
            </w:pPr>
            <w:r>
              <w:rPr>
                <w:b/>
                <w:bCs/>
              </w:rPr>
              <w:t>KANTON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174.777.704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186.502.488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195.453.215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207.523.273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215.253.348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Breza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1.119.297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1.247.368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1.338.503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1.421.161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1.474.098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Doboj Jug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331.031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340.776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365.673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388.255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402.718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Kakanj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3.136.515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3.272.734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3.511.845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3.728.716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3.867.608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Maglaj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2.168.251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2.280.412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2.447.022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2.598.136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2.694.915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Olovo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1.059.298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1.073.765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1.152.216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1.223.371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1.268.940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Tešanj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4.057.194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4.275.772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4.588.167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4.871.506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5.052.965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Usora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568.959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582.962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625.555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664.185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688.926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Vareš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893.783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908.736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975.129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1.035.348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1.073.913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lastRenderedPageBreak/>
              <w:t>Visoko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3.260.652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3.379.896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3.626.837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3.850.809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3.994.249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Zavidovići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3.531.683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3.669.234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3.937.314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4.180.460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4.336.179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Zenica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10.187.468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10.696.932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11.478.467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12.187.311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12.641.278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r>
              <w:t>Žepče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2.867.553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2.983.396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3.201.368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3.399.066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</w:pPr>
            <w:r>
              <w:t>3.525.678</w:t>
            </w:r>
          </w:p>
        </w:tc>
      </w:tr>
      <w:tr w:rsidR="007C1058" w:rsidTr="007C1058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OPĆINE/GRAD </w:t>
            </w:r>
            <w:r w:rsidR="00C36FC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33.181.684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34.711.984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37.248.098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39.548.324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58" w:rsidRDefault="007C10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41.021.468</w:t>
            </w:r>
          </w:p>
        </w:tc>
      </w:tr>
    </w:tbl>
    <w:p w:rsidR="00526929" w:rsidRDefault="00526929" w:rsidP="009153C2">
      <w:pPr>
        <w:jc w:val="both"/>
        <w:rPr>
          <w:b/>
          <w:lang w:val="pl-PL"/>
        </w:rPr>
      </w:pPr>
    </w:p>
    <w:p w:rsidR="0003508E" w:rsidRDefault="0003508E" w:rsidP="000A39A8">
      <w:pPr>
        <w:jc w:val="both"/>
        <w:rPr>
          <w:b/>
          <w:lang w:val="pl-PL"/>
        </w:rPr>
      </w:pPr>
    </w:p>
    <w:p w:rsidR="00B6443F" w:rsidRPr="00575863" w:rsidRDefault="00494AB5" w:rsidP="000A39A8">
      <w:pPr>
        <w:jc w:val="both"/>
        <w:rPr>
          <w:b/>
          <w:lang w:val="pl-PL"/>
        </w:rPr>
      </w:pPr>
      <w:r>
        <w:rPr>
          <w:b/>
          <w:lang w:val="pl-PL"/>
        </w:rPr>
        <w:t>Odjeljak B</w:t>
      </w:r>
      <w:r w:rsidR="002E306A">
        <w:rPr>
          <w:b/>
          <w:lang w:val="pl-PL"/>
        </w:rPr>
        <w:t xml:space="preserve">. </w:t>
      </w:r>
      <w:r w:rsidR="00B6443F" w:rsidRPr="00575863">
        <w:rPr>
          <w:b/>
          <w:lang w:val="pl-PL"/>
        </w:rPr>
        <w:t>Porez na dohodak</w:t>
      </w:r>
    </w:p>
    <w:p w:rsidR="0003508E" w:rsidRDefault="0003508E" w:rsidP="009153C2">
      <w:pPr>
        <w:ind w:firstLine="720"/>
        <w:jc w:val="both"/>
        <w:rPr>
          <w:lang w:val="pl-PL"/>
        </w:rPr>
      </w:pPr>
    </w:p>
    <w:p w:rsidR="00B6443F" w:rsidRPr="00575863" w:rsidRDefault="00B6443F" w:rsidP="009153C2">
      <w:pPr>
        <w:ind w:firstLine="720"/>
        <w:jc w:val="both"/>
        <w:rPr>
          <w:lang w:val="pl-PL"/>
        </w:rPr>
      </w:pPr>
      <w:r w:rsidRPr="00575863">
        <w:rPr>
          <w:lang w:val="pl-PL"/>
        </w:rPr>
        <w:t>Ukupni prihodi od poreza na dohodak su proji</w:t>
      </w:r>
      <w:r w:rsidR="00FB747C">
        <w:rPr>
          <w:lang w:val="pl-PL"/>
        </w:rPr>
        <w:t xml:space="preserve">cirani na </w:t>
      </w:r>
      <w:r w:rsidR="00494AB5">
        <w:rPr>
          <w:lang w:val="pl-PL"/>
        </w:rPr>
        <w:t>0,849</w:t>
      </w:r>
      <w:r w:rsidR="00A45349">
        <w:rPr>
          <w:lang w:val="pl-PL"/>
        </w:rPr>
        <w:t xml:space="preserve"> miliona</w:t>
      </w:r>
      <w:r w:rsidR="00BA399C">
        <w:rPr>
          <w:lang w:val="pl-PL"/>
        </w:rPr>
        <w:t xml:space="preserve"> KM u 201</w:t>
      </w:r>
      <w:r w:rsidR="008A444E">
        <w:rPr>
          <w:lang w:val="pl-PL"/>
        </w:rPr>
        <w:t>8</w:t>
      </w:r>
      <w:r w:rsidR="0084612E">
        <w:rPr>
          <w:lang w:val="pl-PL"/>
        </w:rPr>
        <w:t xml:space="preserve">. </w:t>
      </w:r>
      <w:r w:rsidR="009F3D3A">
        <w:rPr>
          <w:lang w:val="pl-PL"/>
        </w:rPr>
        <w:t>g</w:t>
      </w:r>
      <w:r w:rsidR="0084612E">
        <w:rPr>
          <w:lang w:val="pl-PL"/>
        </w:rPr>
        <w:t xml:space="preserve">odini, što predstavlja </w:t>
      </w:r>
      <w:r w:rsidR="00494AB5">
        <w:rPr>
          <w:lang w:val="pl-PL"/>
        </w:rPr>
        <w:t>uvećanje</w:t>
      </w:r>
      <w:r w:rsidR="0084612E">
        <w:rPr>
          <w:lang w:val="pl-PL"/>
        </w:rPr>
        <w:t xml:space="preserve"> od </w:t>
      </w:r>
      <w:r w:rsidR="00494AB5">
        <w:rPr>
          <w:lang w:val="pl-PL"/>
        </w:rPr>
        <w:t>6,3</w:t>
      </w:r>
      <w:r w:rsidRPr="00575863">
        <w:rPr>
          <w:lang w:val="pl-PL"/>
        </w:rPr>
        <w:t>% u</w:t>
      </w:r>
      <w:r w:rsidR="0084612E">
        <w:rPr>
          <w:lang w:val="pl-PL"/>
        </w:rPr>
        <w:t xml:space="preserve"> odnosu na </w:t>
      </w:r>
      <w:r w:rsidR="003D0334">
        <w:rPr>
          <w:lang w:val="pl-PL"/>
        </w:rPr>
        <w:t>izvršenje</w:t>
      </w:r>
      <w:r w:rsidR="008A444E">
        <w:rPr>
          <w:lang w:val="pl-PL"/>
        </w:rPr>
        <w:t xml:space="preserve"> u 2017</w:t>
      </w:r>
      <w:r w:rsidRPr="00575863">
        <w:rPr>
          <w:lang w:val="pl-PL"/>
        </w:rPr>
        <w:t>.</w:t>
      </w:r>
      <w:r w:rsidR="00D775B1">
        <w:rPr>
          <w:lang w:val="pl-PL"/>
        </w:rPr>
        <w:t xml:space="preserve"> </w:t>
      </w:r>
      <w:r w:rsidR="009F3D3A">
        <w:rPr>
          <w:lang w:val="pl-PL"/>
        </w:rPr>
        <w:t>g</w:t>
      </w:r>
      <w:r w:rsidRPr="00575863">
        <w:rPr>
          <w:lang w:val="pl-PL"/>
        </w:rPr>
        <w:t>odini.</w:t>
      </w:r>
      <w:r w:rsidR="009153C2" w:rsidRPr="00575863">
        <w:rPr>
          <w:lang w:val="pl-PL"/>
        </w:rPr>
        <w:t xml:space="preserve"> </w:t>
      </w:r>
      <w:r w:rsidRPr="00575863">
        <w:rPr>
          <w:lang w:val="pl-PL"/>
        </w:rPr>
        <w:t xml:space="preserve">Projekcija </w:t>
      </w:r>
      <w:r w:rsidR="00417E03">
        <w:rPr>
          <w:lang w:val="pl-PL"/>
        </w:rPr>
        <w:t xml:space="preserve">prihoda od </w:t>
      </w:r>
      <w:r w:rsidRPr="00575863">
        <w:rPr>
          <w:lang w:val="pl-PL"/>
        </w:rPr>
        <w:t xml:space="preserve">poreza na dohodak u Budžetu </w:t>
      </w:r>
      <w:r w:rsidR="00494AB5">
        <w:rPr>
          <w:lang w:val="pl-PL"/>
        </w:rPr>
        <w:t>općine Zavidovići</w:t>
      </w:r>
      <w:r w:rsidR="008A444E">
        <w:rPr>
          <w:lang w:val="pl-PL"/>
        </w:rPr>
        <w:t xml:space="preserve"> u 2019</w:t>
      </w:r>
      <w:r w:rsidRPr="00575863">
        <w:rPr>
          <w:lang w:val="pl-PL"/>
        </w:rPr>
        <w:t xml:space="preserve">. </w:t>
      </w:r>
      <w:r w:rsidR="009F3D3A">
        <w:rPr>
          <w:lang w:val="pl-PL"/>
        </w:rPr>
        <w:t>g</w:t>
      </w:r>
      <w:r w:rsidRPr="00575863">
        <w:rPr>
          <w:lang w:val="pl-PL"/>
        </w:rPr>
        <w:t xml:space="preserve">odini </w:t>
      </w:r>
      <w:r w:rsidR="00B0551A">
        <w:rPr>
          <w:lang w:val="pl-PL"/>
        </w:rPr>
        <w:t>predviđa</w:t>
      </w:r>
      <w:r w:rsidR="00FB747C">
        <w:rPr>
          <w:lang w:val="pl-PL"/>
        </w:rPr>
        <w:t xml:space="preserve"> povećanje od </w:t>
      </w:r>
      <w:r w:rsidR="00494AB5">
        <w:rPr>
          <w:lang w:val="pl-PL"/>
        </w:rPr>
        <w:t>5,4</w:t>
      </w:r>
      <w:r w:rsidR="008A444E">
        <w:rPr>
          <w:lang w:val="pl-PL"/>
        </w:rPr>
        <w:t xml:space="preserve">%, dok za 2020. </w:t>
      </w:r>
      <w:r w:rsidR="009F3D3A">
        <w:rPr>
          <w:lang w:val="pl-PL"/>
        </w:rPr>
        <w:t>i</w:t>
      </w:r>
      <w:r w:rsidR="008A444E">
        <w:rPr>
          <w:lang w:val="pl-PL"/>
        </w:rPr>
        <w:t xml:space="preserve"> 2021</w:t>
      </w:r>
      <w:r w:rsidR="00B531AA">
        <w:rPr>
          <w:lang w:val="pl-PL"/>
        </w:rPr>
        <w:t>.</w:t>
      </w:r>
      <w:r w:rsidR="00417E03">
        <w:rPr>
          <w:lang w:val="pl-PL"/>
        </w:rPr>
        <w:t xml:space="preserve"> </w:t>
      </w:r>
      <w:r w:rsidR="009F3D3A">
        <w:rPr>
          <w:lang w:val="pl-PL"/>
        </w:rPr>
        <w:t>g</w:t>
      </w:r>
      <w:r w:rsidR="00B531AA">
        <w:rPr>
          <w:lang w:val="pl-PL"/>
        </w:rPr>
        <w:t xml:space="preserve">odinu predviđa povećanje od </w:t>
      </w:r>
      <w:r w:rsidR="00494AB5">
        <w:rPr>
          <w:lang w:val="pl-PL"/>
        </w:rPr>
        <w:t>2,2</w:t>
      </w:r>
      <w:r w:rsidR="00FD2BDF">
        <w:rPr>
          <w:lang w:val="pl-PL"/>
        </w:rPr>
        <w:t>% odnosno</w:t>
      </w:r>
      <w:r w:rsidR="00417E03">
        <w:rPr>
          <w:lang w:val="pl-PL"/>
        </w:rPr>
        <w:t xml:space="preserve"> </w:t>
      </w:r>
      <w:r w:rsidR="00494AB5">
        <w:rPr>
          <w:lang w:val="pl-PL"/>
        </w:rPr>
        <w:t>1</w:t>
      </w:r>
      <w:r w:rsidR="00417E03">
        <w:rPr>
          <w:lang w:val="pl-PL"/>
        </w:rPr>
        <w:t>%</w:t>
      </w:r>
      <w:r w:rsidR="00C9714A">
        <w:rPr>
          <w:lang w:val="pl-PL"/>
        </w:rPr>
        <w:t xml:space="preserve"> u odnosu na prethodnu godinu</w:t>
      </w:r>
      <w:r w:rsidR="00FF1A43">
        <w:rPr>
          <w:lang w:val="pl-PL"/>
        </w:rPr>
        <w:t xml:space="preserve"> (tabela I)</w:t>
      </w:r>
      <w:r w:rsidR="00FD2BDF">
        <w:rPr>
          <w:lang w:val="pl-PL"/>
        </w:rPr>
        <w:t>.</w:t>
      </w:r>
    </w:p>
    <w:p w:rsidR="00CA524D" w:rsidRDefault="00CA524D" w:rsidP="001E19B1">
      <w:pPr>
        <w:jc w:val="both"/>
        <w:rPr>
          <w:color w:val="FF0000"/>
          <w:lang w:val="pl-PL"/>
        </w:rPr>
      </w:pPr>
    </w:p>
    <w:p w:rsidR="0003508E" w:rsidRDefault="0003508E" w:rsidP="0082654C">
      <w:pPr>
        <w:pStyle w:val="Heading1"/>
        <w:spacing w:before="0" w:after="0"/>
        <w:rPr>
          <w:rFonts w:ascii="Times New Roman" w:hAnsi="Times New Roman" w:cs="Times New Roman"/>
          <w:bCs w:val="0"/>
          <w:sz w:val="24"/>
          <w:szCs w:val="24"/>
          <w:lang w:val="hr-BA"/>
        </w:rPr>
      </w:pPr>
      <w:bookmarkStart w:id="4" w:name="_Toc164073112"/>
    </w:p>
    <w:p w:rsidR="00B6443F" w:rsidRPr="00575863" w:rsidRDefault="0082654C" w:rsidP="0082654C">
      <w:pPr>
        <w:pStyle w:val="Heading1"/>
        <w:spacing w:before="0" w:after="0"/>
        <w:rPr>
          <w:rFonts w:ascii="Times New Roman" w:hAnsi="Times New Roman" w:cs="Times New Roman"/>
          <w:bCs w:val="0"/>
          <w:sz w:val="24"/>
          <w:szCs w:val="24"/>
          <w:lang w:val="hr-BA"/>
        </w:rPr>
      </w:pPr>
      <w:r>
        <w:rPr>
          <w:rFonts w:ascii="Times New Roman" w:hAnsi="Times New Roman" w:cs="Times New Roman"/>
          <w:bCs w:val="0"/>
          <w:sz w:val="24"/>
          <w:szCs w:val="24"/>
          <w:lang w:val="hr-BA"/>
        </w:rPr>
        <w:t>POGLAVLJE</w:t>
      </w:r>
      <w:r w:rsidR="002E306A">
        <w:rPr>
          <w:rFonts w:ascii="Times New Roman" w:hAnsi="Times New Roman" w:cs="Times New Roman"/>
          <w:bCs w:val="0"/>
          <w:sz w:val="24"/>
          <w:szCs w:val="24"/>
          <w:lang w:val="hr-BA"/>
        </w:rPr>
        <w:t xml:space="preserve"> II. </w:t>
      </w:r>
      <w:bookmarkEnd w:id="4"/>
      <w:r w:rsidR="002E306A">
        <w:rPr>
          <w:rFonts w:ascii="Times New Roman" w:hAnsi="Times New Roman" w:cs="Times New Roman"/>
          <w:bCs w:val="0"/>
          <w:sz w:val="24"/>
          <w:szCs w:val="24"/>
          <w:lang w:val="hr-BA"/>
        </w:rPr>
        <w:t xml:space="preserve">POTROŠNJA U BUDŽETU </w:t>
      </w:r>
      <w:r w:rsidR="00A32812">
        <w:rPr>
          <w:rFonts w:ascii="Times New Roman" w:hAnsi="Times New Roman" w:cs="Times New Roman"/>
          <w:bCs w:val="0"/>
          <w:sz w:val="24"/>
          <w:szCs w:val="24"/>
          <w:lang w:val="hr-BA"/>
        </w:rPr>
        <w:t>OPĆINE ZAVIDOVIĆI</w:t>
      </w:r>
    </w:p>
    <w:p w:rsidR="00B6443F" w:rsidRPr="00575863" w:rsidRDefault="00B6443F">
      <w:pPr>
        <w:tabs>
          <w:tab w:val="left" w:pos="9000"/>
        </w:tabs>
        <w:jc w:val="both"/>
        <w:rPr>
          <w:lang w:val="hr-BA"/>
        </w:rPr>
      </w:pPr>
    </w:p>
    <w:p w:rsidR="00B6443F" w:rsidRPr="00575863" w:rsidRDefault="00B6443F">
      <w:pPr>
        <w:ind w:firstLine="720"/>
        <w:jc w:val="both"/>
        <w:rPr>
          <w:lang w:val="hr-BA"/>
        </w:rPr>
      </w:pPr>
      <w:r w:rsidRPr="00575863">
        <w:rPr>
          <w:lang w:val="hr-BA"/>
        </w:rPr>
        <w:t>U ovom poglavlju su sažeta glavna pitanja iz oblasti upravljanja javnim</w:t>
      </w:r>
      <w:r w:rsidR="00133AD1">
        <w:rPr>
          <w:lang w:val="hr-BA"/>
        </w:rPr>
        <w:t xml:space="preserve"> sredstvima</w:t>
      </w:r>
      <w:r w:rsidRPr="00575863">
        <w:rPr>
          <w:lang w:val="hr-BA"/>
        </w:rPr>
        <w:t>. Ovakva analiza predstavlja važan element u srednjoročnom planiranju budžeta i pruža pregled strukture budžeta po ekonomsk</w:t>
      </w:r>
      <w:r w:rsidRPr="00575863">
        <w:rPr>
          <w:lang w:val="hr-HR"/>
        </w:rPr>
        <w:t>oj</w:t>
      </w:r>
      <w:r w:rsidRPr="00575863">
        <w:rPr>
          <w:lang w:val="hr-BA"/>
        </w:rPr>
        <w:t xml:space="preserve"> k</w:t>
      </w:r>
      <w:r w:rsidRPr="00575863">
        <w:rPr>
          <w:lang w:val="hr-HR"/>
        </w:rPr>
        <w:t>lasifikaciji</w:t>
      </w:r>
      <w:r w:rsidRPr="00575863">
        <w:rPr>
          <w:lang w:val="hr-BA"/>
        </w:rPr>
        <w:t>,</w:t>
      </w:r>
      <w:r w:rsidRPr="00575863">
        <w:rPr>
          <w:lang w:val="hr-HR"/>
        </w:rPr>
        <w:t xml:space="preserve"> a koristi se za određivanje svih strukturalnih neravnoteža</w:t>
      </w:r>
      <w:r w:rsidRPr="00575863">
        <w:rPr>
          <w:lang w:val="hr-BA"/>
        </w:rPr>
        <w:t xml:space="preserve">, koje </w:t>
      </w:r>
      <w:r w:rsidRPr="00575863">
        <w:rPr>
          <w:lang w:val="hr-HR"/>
        </w:rPr>
        <w:t xml:space="preserve">se trebaju razmotriti u procesu </w:t>
      </w:r>
      <w:r w:rsidR="00417E03">
        <w:rPr>
          <w:lang w:val="hr-HR"/>
        </w:rPr>
        <w:t>razmatranja</w:t>
      </w:r>
      <w:r w:rsidRPr="00575863">
        <w:rPr>
          <w:lang w:val="hr-HR"/>
        </w:rPr>
        <w:t xml:space="preserve"> pr</w:t>
      </w:r>
      <w:r w:rsidR="00417E03">
        <w:rPr>
          <w:lang w:val="hr-HR"/>
        </w:rPr>
        <w:t>ioritetnih rashoda i definisanja</w:t>
      </w:r>
      <w:r w:rsidRPr="00575863">
        <w:rPr>
          <w:lang w:val="hr-HR"/>
        </w:rPr>
        <w:t xml:space="preserve"> gornjih granica rashoda budžetskih korisnika.</w:t>
      </w:r>
      <w:r w:rsidRPr="00575863">
        <w:rPr>
          <w:lang w:val="hr-BA"/>
        </w:rPr>
        <w:t xml:space="preserve"> U ovom </w:t>
      </w:r>
      <w:r w:rsidRPr="00575863">
        <w:rPr>
          <w:lang w:val="hr-HR"/>
        </w:rPr>
        <w:t>dijelu</w:t>
      </w:r>
      <w:r w:rsidRPr="00575863">
        <w:rPr>
          <w:lang w:val="hr-BA"/>
        </w:rPr>
        <w:t xml:space="preserve"> se analiziraju i daju preporuke </w:t>
      </w:r>
      <w:r w:rsidRPr="00575863">
        <w:rPr>
          <w:lang w:val="hr-HR"/>
        </w:rPr>
        <w:t>o</w:t>
      </w:r>
      <w:r w:rsidRPr="00575863">
        <w:rPr>
          <w:lang w:val="hr-BA"/>
        </w:rPr>
        <w:t xml:space="preserve"> struktur</w:t>
      </w:r>
      <w:r w:rsidRPr="00575863">
        <w:rPr>
          <w:lang w:val="hr-HR"/>
        </w:rPr>
        <w:t>i</w:t>
      </w:r>
      <w:r w:rsidRPr="00575863">
        <w:rPr>
          <w:lang w:val="hr-BA"/>
        </w:rPr>
        <w:t xml:space="preserve"> </w:t>
      </w:r>
      <w:r w:rsidRPr="00575863">
        <w:rPr>
          <w:lang w:val="hr-HR"/>
        </w:rPr>
        <w:t xml:space="preserve">budžeta s osvrtom na </w:t>
      </w:r>
      <w:r w:rsidRPr="00575863">
        <w:rPr>
          <w:lang w:val="hr-BA"/>
        </w:rPr>
        <w:t>pla</w:t>
      </w:r>
      <w:r w:rsidRPr="00575863">
        <w:rPr>
          <w:lang w:val="hr-HR"/>
        </w:rPr>
        <w:t>ć</w:t>
      </w:r>
      <w:r w:rsidRPr="00575863">
        <w:rPr>
          <w:lang w:val="hr-BA"/>
        </w:rPr>
        <w:t>e</w:t>
      </w:r>
      <w:r w:rsidRPr="00575863">
        <w:rPr>
          <w:lang w:val="hr-HR"/>
        </w:rPr>
        <w:t xml:space="preserve"> i naknade</w:t>
      </w:r>
      <w:r w:rsidRPr="00575863">
        <w:rPr>
          <w:lang w:val="hr-BA"/>
        </w:rPr>
        <w:t>, materijalne troškove,</w:t>
      </w:r>
      <w:r w:rsidRPr="00575863">
        <w:rPr>
          <w:lang w:val="hr-HR"/>
        </w:rPr>
        <w:t xml:space="preserve"> grantove i</w:t>
      </w:r>
      <w:r w:rsidRPr="00575863">
        <w:rPr>
          <w:lang w:val="hr-BA"/>
        </w:rPr>
        <w:t xml:space="preserve"> </w:t>
      </w:r>
      <w:r w:rsidRPr="00575863">
        <w:rPr>
          <w:lang w:val="hr-HR"/>
        </w:rPr>
        <w:t>k</w:t>
      </w:r>
      <w:r w:rsidRPr="00575863">
        <w:rPr>
          <w:lang w:val="hr-BA"/>
        </w:rPr>
        <w:t>apitaln</w:t>
      </w:r>
      <w:r w:rsidRPr="00575863">
        <w:rPr>
          <w:lang w:val="hr-HR"/>
        </w:rPr>
        <w:t>e</w:t>
      </w:r>
      <w:r w:rsidRPr="00575863">
        <w:rPr>
          <w:lang w:val="hr-BA"/>
        </w:rPr>
        <w:t xml:space="preserve"> izdatke. </w:t>
      </w:r>
    </w:p>
    <w:p w:rsidR="00B6443F" w:rsidRPr="00575863" w:rsidRDefault="00B6443F">
      <w:pPr>
        <w:ind w:firstLine="720"/>
        <w:jc w:val="both"/>
        <w:rPr>
          <w:lang w:val="hr-HR"/>
        </w:rPr>
      </w:pPr>
      <w:r w:rsidRPr="00575863">
        <w:rPr>
          <w:lang w:val="hr-BA"/>
        </w:rPr>
        <w:t>Na osnovu ove analize i prognoze prihoda</w:t>
      </w:r>
      <w:r w:rsidR="00A32812">
        <w:rPr>
          <w:lang w:val="hr-BA"/>
        </w:rPr>
        <w:t xml:space="preserve"> </w:t>
      </w:r>
      <w:r w:rsidRPr="00575863">
        <w:rPr>
          <w:lang w:val="hr-BA"/>
        </w:rPr>
        <w:t>urađene su projekcije budžetske potrošnje po ekonomskoj klasifikaciji za period 20</w:t>
      </w:r>
      <w:r w:rsidR="008643FA">
        <w:rPr>
          <w:lang w:val="hr-HR"/>
        </w:rPr>
        <w:t>19</w:t>
      </w:r>
      <w:r w:rsidR="00F84EA4" w:rsidRPr="00575863">
        <w:rPr>
          <w:lang w:val="hr-BA"/>
        </w:rPr>
        <w:t>.</w:t>
      </w:r>
      <w:r w:rsidR="00D52A9D">
        <w:rPr>
          <w:lang w:val="hr-BA"/>
        </w:rPr>
        <w:t xml:space="preserve"> </w:t>
      </w:r>
      <w:r w:rsidR="00FD2BDF">
        <w:rPr>
          <w:lang w:val="hr-BA"/>
        </w:rPr>
        <w:t>–</w:t>
      </w:r>
      <w:r w:rsidR="00D52A9D">
        <w:rPr>
          <w:lang w:val="hr-BA"/>
        </w:rPr>
        <w:t xml:space="preserve"> </w:t>
      </w:r>
      <w:r w:rsidR="008643FA">
        <w:rPr>
          <w:lang w:val="hr-BA"/>
        </w:rPr>
        <w:t>2021</w:t>
      </w:r>
      <w:r w:rsidRPr="00575863">
        <w:rPr>
          <w:lang w:val="hr-BA"/>
        </w:rPr>
        <w:t xml:space="preserve">. </w:t>
      </w:r>
      <w:r w:rsidR="009F3D3A">
        <w:rPr>
          <w:lang w:val="hr-BA"/>
        </w:rPr>
        <w:t>g</w:t>
      </w:r>
      <w:r w:rsidRPr="00575863">
        <w:rPr>
          <w:lang w:val="hr-BA"/>
        </w:rPr>
        <w:t>odin</w:t>
      </w:r>
      <w:r w:rsidR="00C9714A">
        <w:rPr>
          <w:lang w:val="hr-HR"/>
        </w:rPr>
        <w:t>a</w:t>
      </w:r>
      <w:r w:rsidR="00085D86">
        <w:rPr>
          <w:lang w:val="hr-HR"/>
        </w:rPr>
        <w:t>.</w:t>
      </w:r>
    </w:p>
    <w:p w:rsidR="00B6443F" w:rsidRPr="00575863" w:rsidRDefault="00B6443F" w:rsidP="003B60BF">
      <w:pPr>
        <w:ind w:firstLine="720"/>
        <w:jc w:val="both"/>
        <w:rPr>
          <w:lang w:val="hr-HR"/>
        </w:rPr>
      </w:pPr>
      <w:r w:rsidRPr="00575863">
        <w:rPr>
          <w:lang w:val="hr-HR"/>
        </w:rPr>
        <w:t>Postojeća struktura potrošnje nije optimalna, uslijed alociranja velikog iznosa budžetskih sredstava</w:t>
      </w:r>
      <w:r w:rsidR="00F84EA4" w:rsidRPr="00575863">
        <w:rPr>
          <w:lang w:val="hr-HR"/>
        </w:rPr>
        <w:t xml:space="preserve"> na plaće i naknade</w:t>
      </w:r>
      <w:r w:rsidRPr="00575863">
        <w:rPr>
          <w:lang w:val="hr-HR"/>
        </w:rPr>
        <w:t xml:space="preserve">, socijalne transfere, te nedovoljne alokacije na materijalne troškove i kapitalne investicije, </w:t>
      </w:r>
      <w:r w:rsidR="0008157A">
        <w:rPr>
          <w:lang w:val="hr-HR"/>
        </w:rPr>
        <w:t>pa</w:t>
      </w:r>
      <w:r w:rsidRPr="00575863">
        <w:rPr>
          <w:lang w:val="hr-HR"/>
        </w:rPr>
        <w:t xml:space="preserve"> je i</w:t>
      </w:r>
      <w:r w:rsidRPr="00575863">
        <w:rPr>
          <w:lang w:val="hr-BA"/>
        </w:rPr>
        <w:t>mperativ</w:t>
      </w:r>
      <w:r w:rsidRPr="00575863">
        <w:rPr>
          <w:lang w:val="hr-HR"/>
        </w:rPr>
        <w:t xml:space="preserve"> </w:t>
      </w:r>
      <w:r w:rsidR="00F84EA4" w:rsidRPr="00575863">
        <w:rPr>
          <w:lang w:val="hr-BA"/>
        </w:rPr>
        <w:t xml:space="preserve">na </w:t>
      </w:r>
      <w:r w:rsidR="00A32812">
        <w:rPr>
          <w:lang w:val="hr-BA"/>
        </w:rPr>
        <w:t>Općinskom načelniku</w:t>
      </w:r>
      <w:r w:rsidRPr="00575863">
        <w:rPr>
          <w:lang w:val="hr-BA"/>
        </w:rPr>
        <w:t xml:space="preserve"> da se odupre povećanju potrošnje van okvira onoga što je fiskalno održivo.</w:t>
      </w:r>
    </w:p>
    <w:p w:rsidR="007701F9" w:rsidRPr="00590EDA" w:rsidRDefault="00A32812" w:rsidP="00590EDA">
      <w:pPr>
        <w:ind w:firstLine="720"/>
        <w:jc w:val="both"/>
        <w:rPr>
          <w:lang w:val="hr-HR"/>
        </w:rPr>
      </w:pPr>
      <w:r>
        <w:rPr>
          <w:lang w:val="hr-HR"/>
        </w:rPr>
        <w:t>U</w:t>
      </w:r>
      <w:r w:rsidR="00B6443F" w:rsidRPr="00575863">
        <w:rPr>
          <w:lang w:val="hr-HR"/>
        </w:rPr>
        <w:t xml:space="preserve"> tabeli</w:t>
      </w:r>
      <w:r>
        <w:rPr>
          <w:lang w:val="hr-HR"/>
        </w:rPr>
        <w:t xml:space="preserve"> II</w:t>
      </w:r>
      <w:r w:rsidR="00B6443F" w:rsidRPr="00575863">
        <w:rPr>
          <w:lang w:val="hr-HR"/>
        </w:rPr>
        <w:t xml:space="preserve"> daju se </w:t>
      </w:r>
      <w:r w:rsidR="005C4F85">
        <w:rPr>
          <w:lang w:val="hr-HR"/>
        </w:rPr>
        <w:t xml:space="preserve">okvirni </w:t>
      </w:r>
      <w:r w:rsidR="00B6443F" w:rsidRPr="00575863">
        <w:rPr>
          <w:lang w:val="hr-HR"/>
        </w:rPr>
        <w:t>ukupni troškovi po osnovu rashoda iz budžeta i po osnovu prihoda od sopstvene dje</w:t>
      </w:r>
      <w:r w:rsidR="009D4572">
        <w:rPr>
          <w:lang w:val="hr-HR"/>
        </w:rPr>
        <w:t xml:space="preserve">latnosti, </w:t>
      </w:r>
      <w:r w:rsidR="00417E03">
        <w:rPr>
          <w:lang w:val="hr-HR"/>
        </w:rPr>
        <w:t>namjenskih sredstava, donacija i primljenih tekućih transfera.</w:t>
      </w:r>
    </w:p>
    <w:p w:rsidR="008643FA" w:rsidRDefault="008643FA" w:rsidP="00E37ED6">
      <w:pPr>
        <w:jc w:val="both"/>
        <w:rPr>
          <w:b/>
          <w:color w:val="000000"/>
          <w:lang w:val="pl-PL"/>
        </w:rPr>
      </w:pPr>
    </w:p>
    <w:p w:rsidR="0082654C" w:rsidRDefault="001F252B">
      <w:pPr>
        <w:jc w:val="both"/>
        <w:rPr>
          <w:b/>
          <w:lang w:val="hr-HR"/>
        </w:rPr>
      </w:pPr>
      <w:r>
        <w:rPr>
          <w:b/>
          <w:lang w:val="hr-HR"/>
        </w:rPr>
        <w:t>Odjeljak A</w:t>
      </w:r>
      <w:r w:rsidR="0082654C">
        <w:rPr>
          <w:b/>
          <w:lang w:val="hr-HR"/>
        </w:rPr>
        <w:t>. Plaće i naknade</w:t>
      </w:r>
    </w:p>
    <w:p w:rsidR="0082654C" w:rsidRPr="0082654C" w:rsidRDefault="0082654C">
      <w:pPr>
        <w:jc w:val="both"/>
        <w:rPr>
          <w:b/>
          <w:lang w:val="hr-HR"/>
        </w:rPr>
      </w:pPr>
    </w:p>
    <w:p w:rsidR="00A32812" w:rsidRPr="00575863" w:rsidRDefault="00A32812" w:rsidP="00A32812">
      <w:pPr>
        <w:ind w:firstLine="720"/>
        <w:jc w:val="both"/>
        <w:rPr>
          <w:bCs/>
          <w:lang w:val="hr-HR"/>
        </w:rPr>
      </w:pPr>
      <w:r>
        <w:rPr>
          <w:bCs/>
          <w:lang w:val="hr-HR"/>
        </w:rPr>
        <w:t>U narednom periodu</w:t>
      </w:r>
      <w:r w:rsidRPr="00575863">
        <w:rPr>
          <w:bCs/>
          <w:lang w:val="hr-HR"/>
        </w:rPr>
        <w:t xml:space="preserve"> ne predviđa </w:t>
      </w:r>
      <w:r>
        <w:rPr>
          <w:bCs/>
          <w:lang w:val="hr-HR"/>
        </w:rPr>
        <w:t xml:space="preserve">se značajno </w:t>
      </w:r>
      <w:r w:rsidRPr="00575863">
        <w:rPr>
          <w:bCs/>
          <w:lang w:val="hr-HR"/>
        </w:rPr>
        <w:t>povećanje broja zaposlenih</w:t>
      </w:r>
      <w:r>
        <w:rPr>
          <w:bCs/>
          <w:lang w:val="hr-HR"/>
        </w:rPr>
        <w:t>. B</w:t>
      </w:r>
      <w:r w:rsidRPr="00575863">
        <w:rPr>
          <w:bCs/>
          <w:lang w:val="hr-HR"/>
        </w:rPr>
        <w:t>roj zap</w:t>
      </w:r>
      <w:r>
        <w:rPr>
          <w:bCs/>
          <w:lang w:val="hr-HR"/>
        </w:rPr>
        <w:t>oslenih lica i nivo plaća u 2019</w:t>
      </w:r>
      <w:r w:rsidRPr="00575863">
        <w:rPr>
          <w:bCs/>
          <w:lang w:val="hr-HR"/>
        </w:rPr>
        <w:t xml:space="preserve">. </w:t>
      </w:r>
      <w:r w:rsidR="009F3D3A">
        <w:rPr>
          <w:bCs/>
          <w:lang w:val="hr-HR"/>
        </w:rPr>
        <w:t>g</w:t>
      </w:r>
      <w:r w:rsidRPr="00575863">
        <w:rPr>
          <w:bCs/>
          <w:lang w:val="hr-HR"/>
        </w:rPr>
        <w:t xml:space="preserve">odini </w:t>
      </w:r>
      <w:r>
        <w:rPr>
          <w:bCs/>
          <w:lang w:val="hr-HR"/>
        </w:rPr>
        <w:t>bi trebao</w:t>
      </w:r>
      <w:r w:rsidRPr="00575863">
        <w:rPr>
          <w:bCs/>
          <w:lang w:val="hr-HR"/>
        </w:rPr>
        <w:t xml:space="preserve"> ostati relativn</w:t>
      </w:r>
      <w:r>
        <w:rPr>
          <w:bCs/>
          <w:lang w:val="hr-HR"/>
        </w:rPr>
        <w:t>o nepromijenjen u odnosu na 2018</w:t>
      </w:r>
      <w:r w:rsidRPr="00575863">
        <w:rPr>
          <w:bCs/>
          <w:lang w:val="hr-HR"/>
        </w:rPr>
        <w:t xml:space="preserve">. </w:t>
      </w:r>
      <w:r w:rsidR="009F3D3A">
        <w:rPr>
          <w:bCs/>
          <w:lang w:val="hr-HR"/>
        </w:rPr>
        <w:t>g</w:t>
      </w:r>
      <w:r w:rsidRPr="00575863">
        <w:rPr>
          <w:bCs/>
          <w:lang w:val="hr-HR"/>
        </w:rPr>
        <w:t>odinu</w:t>
      </w:r>
      <w:r>
        <w:rPr>
          <w:bCs/>
          <w:lang w:val="hr-HR"/>
        </w:rPr>
        <w:t xml:space="preserve"> kao i u naredne dvije godine (</w:t>
      </w:r>
      <w:r w:rsidRPr="00A32812">
        <w:rPr>
          <w:bCs/>
          <w:lang w:val="hr-HR"/>
        </w:rPr>
        <w:t>tabela III</w:t>
      </w:r>
      <w:r>
        <w:rPr>
          <w:bCs/>
          <w:lang w:val="hr-HR"/>
        </w:rPr>
        <w:t xml:space="preserve">). </w:t>
      </w:r>
    </w:p>
    <w:p w:rsidR="009B208F" w:rsidRDefault="009B208F" w:rsidP="0082654C">
      <w:pPr>
        <w:jc w:val="both"/>
        <w:rPr>
          <w:b/>
          <w:lang w:val="hr-BA"/>
        </w:rPr>
      </w:pPr>
    </w:p>
    <w:p w:rsidR="0082654C" w:rsidRPr="0082654C" w:rsidRDefault="0082654C" w:rsidP="0082654C">
      <w:pPr>
        <w:jc w:val="both"/>
        <w:rPr>
          <w:b/>
          <w:lang w:val="hr-BA"/>
        </w:rPr>
      </w:pPr>
      <w:r w:rsidRPr="0082654C">
        <w:rPr>
          <w:b/>
          <w:lang w:val="hr-BA"/>
        </w:rPr>
        <w:t xml:space="preserve">Odjeljak </w:t>
      </w:r>
      <w:r w:rsidR="001F252B">
        <w:rPr>
          <w:b/>
          <w:lang w:val="hr-BA"/>
        </w:rPr>
        <w:t>B</w:t>
      </w:r>
      <w:r w:rsidRPr="0082654C">
        <w:rPr>
          <w:b/>
          <w:lang w:val="hr-BA"/>
        </w:rPr>
        <w:t>. Materijalni troškovi</w:t>
      </w:r>
    </w:p>
    <w:p w:rsidR="0082654C" w:rsidRDefault="0082654C" w:rsidP="00FE5881">
      <w:pPr>
        <w:ind w:firstLine="720"/>
        <w:jc w:val="both"/>
        <w:rPr>
          <w:lang w:val="hr-BA"/>
        </w:rPr>
      </w:pPr>
    </w:p>
    <w:p w:rsidR="00B723C3" w:rsidRDefault="00B723C3" w:rsidP="00B723C3">
      <w:pPr>
        <w:ind w:firstLine="720"/>
        <w:jc w:val="both"/>
        <w:rPr>
          <w:lang w:val="hr-HR"/>
        </w:rPr>
      </w:pPr>
      <w:r w:rsidRPr="00575863">
        <w:rPr>
          <w:lang w:val="hr-BA"/>
        </w:rPr>
        <w:t xml:space="preserve">Potrošnja na materijal i usluge se procjenjuje na </w:t>
      </w:r>
      <w:r>
        <w:rPr>
          <w:lang w:val="hr-HR"/>
        </w:rPr>
        <w:t>0,68</w:t>
      </w:r>
      <w:r>
        <w:rPr>
          <w:lang w:val="hr-BA"/>
        </w:rPr>
        <w:t xml:space="preserve"> mil.</w:t>
      </w:r>
      <w:r w:rsidRPr="00575863">
        <w:rPr>
          <w:lang w:val="hr-BA"/>
        </w:rPr>
        <w:t xml:space="preserve"> KM u 20</w:t>
      </w:r>
      <w:r>
        <w:rPr>
          <w:lang w:val="hr-HR"/>
        </w:rPr>
        <w:t>19</w:t>
      </w:r>
      <w:r w:rsidRPr="00575863">
        <w:rPr>
          <w:lang w:val="hr-BA"/>
        </w:rPr>
        <w:t xml:space="preserve">. </w:t>
      </w:r>
      <w:r w:rsidR="00C36FCF" w:rsidRPr="00575863">
        <w:rPr>
          <w:lang w:val="hr-BA"/>
        </w:rPr>
        <w:t>G</w:t>
      </w:r>
      <w:r w:rsidRPr="00575863">
        <w:rPr>
          <w:lang w:val="hr-BA"/>
        </w:rPr>
        <w:t xml:space="preserve">odini, što predstavlja </w:t>
      </w:r>
      <w:r>
        <w:rPr>
          <w:lang w:val="hr-BA"/>
        </w:rPr>
        <w:t>6,73% ukupnog Budžeta općine Zavidovići. Za izdatke</w:t>
      </w:r>
      <w:r w:rsidRPr="00575863">
        <w:rPr>
          <w:lang w:val="hr-BA"/>
        </w:rPr>
        <w:t xml:space="preserve"> za materijal i usluge</w:t>
      </w:r>
      <w:r>
        <w:rPr>
          <w:lang w:val="hr-HR"/>
        </w:rPr>
        <w:t xml:space="preserve"> </w:t>
      </w:r>
      <w:r w:rsidRPr="00575863">
        <w:rPr>
          <w:lang w:val="hr-HR"/>
        </w:rPr>
        <w:t xml:space="preserve">u projekcijama za </w:t>
      </w:r>
      <w:r>
        <w:rPr>
          <w:lang w:val="hr-HR"/>
        </w:rPr>
        <w:t xml:space="preserve">2020. </w:t>
      </w:r>
      <w:r w:rsidR="009F3D3A">
        <w:rPr>
          <w:lang w:val="hr-HR"/>
        </w:rPr>
        <w:t>i</w:t>
      </w:r>
      <w:r>
        <w:rPr>
          <w:lang w:val="hr-HR"/>
        </w:rPr>
        <w:t xml:space="preserve"> 2021. </w:t>
      </w:r>
      <w:r w:rsidR="009F3D3A">
        <w:rPr>
          <w:lang w:val="hr-HR"/>
        </w:rPr>
        <w:t>g</w:t>
      </w:r>
      <w:r>
        <w:rPr>
          <w:lang w:val="hr-HR"/>
        </w:rPr>
        <w:t>odinu ne predviđa se povećanje u odnosu na prethodnu godine (</w:t>
      </w:r>
      <w:r w:rsidRPr="00B723C3">
        <w:rPr>
          <w:lang w:val="hr-HR"/>
        </w:rPr>
        <w:t>tabela II</w:t>
      </w:r>
      <w:r w:rsidRPr="00A51D5D">
        <w:rPr>
          <w:lang w:val="hr-HR"/>
        </w:rPr>
        <w:t xml:space="preserve">). </w:t>
      </w:r>
      <w:r>
        <w:rPr>
          <w:lang w:val="hr-HR"/>
        </w:rPr>
        <w:t xml:space="preserve"> </w:t>
      </w:r>
    </w:p>
    <w:p w:rsidR="00315361" w:rsidRDefault="00315361" w:rsidP="00FE655A">
      <w:pPr>
        <w:rPr>
          <w:b/>
          <w:lang w:val="hr-BA"/>
        </w:rPr>
      </w:pPr>
    </w:p>
    <w:p w:rsidR="0003508E" w:rsidRPr="00C36FCF" w:rsidRDefault="00C36FCF" w:rsidP="00C36FCF">
      <w:pPr>
        <w:jc w:val="center"/>
        <w:rPr>
          <w:sz w:val="20"/>
          <w:szCs w:val="20"/>
          <w:lang w:val="hr-BA"/>
        </w:rPr>
      </w:pPr>
      <w:r w:rsidRPr="00C36FCF">
        <w:rPr>
          <w:sz w:val="20"/>
          <w:szCs w:val="20"/>
          <w:lang w:val="hr-BA"/>
        </w:rPr>
        <w:t>-63</w:t>
      </w:r>
      <w:r w:rsidR="004B2FCA">
        <w:rPr>
          <w:sz w:val="20"/>
          <w:szCs w:val="20"/>
          <w:lang w:val="hr-BA"/>
        </w:rPr>
        <w:t>8</w:t>
      </w:r>
      <w:r w:rsidRPr="00C36FCF">
        <w:rPr>
          <w:sz w:val="20"/>
          <w:szCs w:val="20"/>
          <w:lang w:val="hr-BA"/>
        </w:rPr>
        <w:t>-</w:t>
      </w:r>
    </w:p>
    <w:p w:rsidR="00C36FCF" w:rsidRDefault="00C36FCF" w:rsidP="00C36FCF">
      <w:pPr>
        <w:jc w:val="center"/>
        <w:rPr>
          <w:sz w:val="20"/>
          <w:szCs w:val="20"/>
          <w:lang w:val="hr-BA"/>
        </w:rPr>
      </w:pPr>
      <w:r w:rsidRPr="00C36FCF">
        <w:rPr>
          <w:sz w:val="20"/>
          <w:szCs w:val="20"/>
          <w:lang w:val="hr-BA"/>
        </w:rPr>
        <w:lastRenderedPageBreak/>
        <w:t>-63</w:t>
      </w:r>
      <w:r w:rsidR="004B2FCA">
        <w:rPr>
          <w:sz w:val="20"/>
          <w:szCs w:val="20"/>
          <w:lang w:val="hr-BA"/>
        </w:rPr>
        <w:t>9</w:t>
      </w:r>
      <w:r w:rsidRPr="00C36FCF">
        <w:rPr>
          <w:sz w:val="20"/>
          <w:szCs w:val="20"/>
          <w:lang w:val="hr-BA"/>
        </w:rPr>
        <w:t>-</w:t>
      </w:r>
    </w:p>
    <w:p w:rsidR="00C36FCF" w:rsidRPr="00C36FCF" w:rsidRDefault="00C36FCF" w:rsidP="00C36FCF">
      <w:pPr>
        <w:jc w:val="center"/>
        <w:rPr>
          <w:sz w:val="8"/>
          <w:szCs w:val="8"/>
          <w:lang w:val="hr-BA"/>
        </w:rPr>
      </w:pPr>
    </w:p>
    <w:p w:rsidR="00B6443F" w:rsidRPr="00FE655A" w:rsidRDefault="001F252B" w:rsidP="00FE655A">
      <w:pPr>
        <w:rPr>
          <w:b/>
          <w:lang w:val="hr-HR"/>
        </w:rPr>
      </w:pPr>
      <w:r>
        <w:rPr>
          <w:b/>
          <w:lang w:val="hr-BA"/>
        </w:rPr>
        <w:t>Odjeljak C</w:t>
      </w:r>
      <w:r w:rsidR="0082654C" w:rsidRPr="00FE655A">
        <w:rPr>
          <w:b/>
          <w:lang w:val="hr-BA"/>
        </w:rPr>
        <w:t>. Tekući transferi</w:t>
      </w:r>
    </w:p>
    <w:p w:rsidR="000A39A8" w:rsidRDefault="000A39A8" w:rsidP="00B723C3">
      <w:pPr>
        <w:ind w:firstLine="720"/>
        <w:jc w:val="both"/>
        <w:rPr>
          <w:szCs w:val="21"/>
          <w:lang w:val="hr-BA"/>
        </w:rPr>
      </w:pPr>
    </w:p>
    <w:p w:rsidR="00B723C3" w:rsidRPr="00575863" w:rsidRDefault="00B723C3" w:rsidP="00B723C3">
      <w:pPr>
        <w:ind w:firstLine="720"/>
        <w:jc w:val="both"/>
        <w:rPr>
          <w:lang w:val="hr-HR"/>
        </w:rPr>
      </w:pPr>
      <w:r w:rsidRPr="00575863">
        <w:rPr>
          <w:szCs w:val="21"/>
          <w:lang w:val="hr-BA"/>
        </w:rPr>
        <w:t>Ukupno</w:t>
      </w:r>
      <w:r w:rsidRPr="00575863">
        <w:rPr>
          <w:lang w:val="hr-HR"/>
        </w:rPr>
        <w:t xml:space="preserve"> projiciran</w:t>
      </w:r>
      <w:r w:rsidRPr="00575863">
        <w:rPr>
          <w:szCs w:val="21"/>
          <w:lang w:val="hr-BA"/>
        </w:rPr>
        <w:t>i</w:t>
      </w:r>
      <w:r>
        <w:rPr>
          <w:lang w:val="hr-HR"/>
        </w:rPr>
        <w:t xml:space="preserve"> tekući transferi u 2019. godini iznose 4,2 mil. KM i u odnosu na izvršenje 2017</w:t>
      </w:r>
      <w:r w:rsidRPr="00575863">
        <w:rPr>
          <w:lang w:val="hr-HR"/>
        </w:rPr>
        <w:t xml:space="preserve">. godine su </w:t>
      </w:r>
      <w:r>
        <w:rPr>
          <w:lang w:val="hr-HR"/>
        </w:rPr>
        <w:t>veći</w:t>
      </w:r>
      <w:r w:rsidRPr="00575863">
        <w:rPr>
          <w:lang w:val="hr-HR"/>
        </w:rPr>
        <w:t xml:space="preserve"> za </w:t>
      </w:r>
      <w:r>
        <w:rPr>
          <w:lang w:val="hr-HR"/>
        </w:rPr>
        <w:t>12,6%.</w:t>
      </w:r>
    </w:p>
    <w:p w:rsidR="00B723C3" w:rsidRDefault="00B723C3" w:rsidP="00B723C3">
      <w:pPr>
        <w:pStyle w:val="BodyText"/>
        <w:spacing w:after="0"/>
        <w:ind w:firstLine="720"/>
        <w:jc w:val="both"/>
        <w:rPr>
          <w:lang w:val="hr-HR"/>
        </w:rPr>
      </w:pPr>
      <w:r w:rsidRPr="00575863">
        <w:rPr>
          <w:lang w:val="hr-HR"/>
        </w:rPr>
        <w:t>U strukturi planiranih tekućih tr</w:t>
      </w:r>
      <w:r>
        <w:rPr>
          <w:lang w:val="hr-HR"/>
        </w:rPr>
        <w:t>ansfera za 2019</w:t>
      </w:r>
      <w:r w:rsidRPr="00575863">
        <w:rPr>
          <w:lang w:val="hr-HR"/>
        </w:rPr>
        <w:t>. godinu</w:t>
      </w:r>
      <w:r>
        <w:rPr>
          <w:lang w:val="hr-HR"/>
        </w:rPr>
        <w:t>,</w:t>
      </w:r>
      <w:r w:rsidRPr="00575863">
        <w:rPr>
          <w:lang w:val="hr-HR"/>
        </w:rPr>
        <w:t xml:space="preserve"> najveći dio se odnosi na transfere iz oblasti socijalne zaštite</w:t>
      </w:r>
      <w:r>
        <w:rPr>
          <w:lang w:val="hr-HR"/>
        </w:rPr>
        <w:t>,</w:t>
      </w:r>
      <w:r w:rsidRPr="00575863">
        <w:rPr>
          <w:lang w:val="hr-HR"/>
        </w:rPr>
        <w:t xml:space="preserve"> transfere iz oblasti obrazovanja, nauke, ku</w:t>
      </w:r>
      <w:r>
        <w:rPr>
          <w:lang w:val="hr-HR"/>
        </w:rPr>
        <w:t>lture i sporta</w:t>
      </w:r>
      <w:r w:rsidRPr="00575863">
        <w:rPr>
          <w:lang w:val="hr-HR"/>
        </w:rPr>
        <w:t>, transfere iz oblasti rješavanja pitanja prava pripadnika bora</w:t>
      </w:r>
      <w:r>
        <w:rPr>
          <w:lang w:val="hr-HR"/>
        </w:rPr>
        <w:t xml:space="preserve">čke populacije </w:t>
      </w:r>
      <w:r w:rsidRPr="00575863">
        <w:rPr>
          <w:lang w:val="hr-HR"/>
        </w:rPr>
        <w:t xml:space="preserve"> i ostale te</w:t>
      </w:r>
      <w:r>
        <w:rPr>
          <w:lang w:val="hr-HR"/>
        </w:rPr>
        <w:t>kuće transfere</w:t>
      </w:r>
      <w:r w:rsidRPr="00575863">
        <w:rPr>
          <w:lang w:val="hr-HR"/>
        </w:rPr>
        <w:t xml:space="preserve"> </w:t>
      </w:r>
      <w:r>
        <w:rPr>
          <w:lang w:val="hr-HR"/>
        </w:rPr>
        <w:t>(tabela II</w:t>
      </w:r>
      <w:r w:rsidRPr="00A51D5D">
        <w:rPr>
          <w:lang w:val="hr-HR"/>
        </w:rPr>
        <w:t xml:space="preserve">). </w:t>
      </w:r>
      <w:r>
        <w:rPr>
          <w:lang w:val="hr-HR"/>
        </w:rPr>
        <w:t xml:space="preserve"> </w:t>
      </w:r>
    </w:p>
    <w:p w:rsidR="00375466" w:rsidRDefault="00375466" w:rsidP="00FE655A">
      <w:pPr>
        <w:pStyle w:val="BodyText"/>
        <w:spacing w:after="0"/>
        <w:jc w:val="both"/>
        <w:rPr>
          <w:b/>
          <w:lang w:val="hr-BA"/>
        </w:rPr>
      </w:pPr>
      <w:bookmarkStart w:id="5" w:name="_Toc164073115"/>
    </w:p>
    <w:p w:rsidR="00B723C3" w:rsidRPr="00B93D2A" w:rsidRDefault="001F252B" w:rsidP="00B723C3">
      <w:pPr>
        <w:pStyle w:val="BodyText"/>
        <w:spacing w:after="0"/>
        <w:jc w:val="both"/>
        <w:rPr>
          <w:b/>
          <w:spacing w:val="-3"/>
          <w:szCs w:val="22"/>
          <w:lang w:val="hr-HR"/>
        </w:rPr>
      </w:pPr>
      <w:r>
        <w:rPr>
          <w:b/>
          <w:lang w:val="hr-BA"/>
        </w:rPr>
        <w:t>Odjeljak D</w:t>
      </w:r>
      <w:r w:rsidR="0082654C" w:rsidRPr="00B93D2A">
        <w:rPr>
          <w:b/>
          <w:lang w:val="hr-BA"/>
        </w:rPr>
        <w:t xml:space="preserve">. </w:t>
      </w:r>
      <w:bookmarkEnd w:id="5"/>
      <w:r w:rsidR="00B723C3" w:rsidRPr="00B93D2A">
        <w:rPr>
          <w:b/>
          <w:lang w:val="hr-BA"/>
        </w:rPr>
        <w:t xml:space="preserve">Kapitalna potrošnja </w:t>
      </w:r>
      <w:r w:rsidR="00B723C3">
        <w:rPr>
          <w:b/>
          <w:lang w:val="hr-BA"/>
        </w:rPr>
        <w:t>općine Zavidovići</w:t>
      </w:r>
    </w:p>
    <w:p w:rsidR="00B723C3" w:rsidRPr="00575863" w:rsidRDefault="00B723C3" w:rsidP="00B723C3">
      <w:pPr>
        <w:rPr>
          <w:lang w:val="hr-HR"/>
        </w:rPr>
      </w:pPr>
    </w:p>
    <w:p w:rsidR="00B723C3" w:rsidRDefault="00B723C3" w:rsidP="00B723C3">
      <w:pPr>
        <w:ind w:firstLine="720"/>
        <w:jc w:val="both"/>
        <w:rPr>
          <w:lang w:val="hr-HR"/>
        </w:rPr>
      </w:pPr>
      <w:r w:rsidRPr="00575863">
        <w:rPr>
          <w:lang w:val="hr-BA"/>
        </w:rPr>
        <w:t>Ukupni</w:t>
      </w:r>
      <w:r w:rsidRPr="00575863">
        <w:rPr>
          <w:lang w:val="hr-HR"/>
        </w:rPr>
        <w:t xml:space="preserve"> </w:t>
      </w:r>
      <w:r w:rsidRPr="00575863">
        <w:rPr>
          <w:lang w:val="hr-BA"/>
        </w:rPr>
        <w:t>kapitalni izdaci iz budžeta se pro</w:t>
      </w:r>
      <w:r>
        <w:rPr>
          <w:lang w:val="hr-BA"/>
        </w:rPr>
        <w:t>jiciraju</w:t>
      </w:r>
      <w:r w:rsidRPr="00575863">
        <w:rPr>
          <w:lang w:val="hr-BA"/>
        </w:rPr>
        <w:t xml:space="preserve"> na </w:t>
      </w:r>
      <w:r>
        <w:rPr>
          <w:lang w:val="hr-HR"/>
        </w:rPr>
        <w:t xml:space="preserve">2 </w:t>
      </w:r>
      <w:r>
        <w:rPr>
          <w:lang w:val="hr-BA"/>
        </w:rPr>
        <w:t>mil.</w:t>
      </w:r>
      <w:r w:rsidRPr="00575863">
        <w:rPr>
          <w:lang w:val="hr-BA"/>
        </w:rPr>
        <w:t xml:space="preserve"> KM u 20</w:t>
      </w:r>
      <w:r>
        <w:rPr>
          <w:lang w:val="hr-HR"/>
        </w:rPr>
        <w:t>19</w:t>
      </w:r>
      <w:r>
        <w:rPr>
          <w:lang w:val="hr-BA"/>
        </w:rPr>
        <w:t xml:space="preserve">. godini. </w:t>
      </w:r>
      <w:r w:rsidRPr="00575863">
        <w:rPr>
          <w:lang w:val="hr-HR"/>
        </w:rPr>
        <w:t xml:space="preserve">Opredjeljenje </w:t>
      </w:r>
      <w:r>
        <w:rPr>
          <w:lang w:val="hr-HR"/>
        </w:rPr>
        <w:t xml:space="preserve">Općinskog načelnika i </w:t>
      </w:r>
      <w:r>
        <w:rPr>
          <w:lang w:val="hr-BA"/>
        </w:rPr>
        <w:t>Službe za upravu ekonomskih poslova i poduzetništvo općine Zavidovići</w:t>
      </w:r>
      <w:r>
        <w:rPr>
          <w:lang w:val="hr-HR"/>
        </w:rPr>
        <w:t xml:space="preserve"> za održivi budžet, usl</w:t>
      </w:r>
      <w:r w:rsidRPr="00575863">
        <w:rPr>
          <w:lang w:val="hr-HR"/>
        </w:rPr>
        <w:t xml:space="preserve">jed efekata svjetske ekonomske krize koja je uticala na provođenje odgovarajućih </w:t>
      </w:r>
      <w:r>
        <w:rPr>
          <w:lang w:val="hr-HR"/>
        </w:rPr>
        <w:t>mjera štednje u svim segmentima</w:t>
      </w:r>
      <w:r w:rsidRPr="00575863">
        <w:rPr>
          <w:lang w:val="hr-HR"/>
        </w:rPr>
        <w:t xml:space="preserve"> se odrazilo i na </w:t>
      </w:r>
      <w:r>
        <w:rPr>
          <w:lang w:val="hr-HR"/>
        </w:rPr>
        <w:t>projekciju</w:t>
      </w:r>
      <w:r w:rsidRPr="00575863">
        <w:rPr>
          <w:lang w:val="hr-HR"/>
        </w:rPr>
        <w:t xml:space="preserve"> izdataka za kapitalne projekte u narednom periodu.</w:t>
      </w:r>
      <w:r>
        <w:rPr>
          <w:lang w:val="hr-HR"/>
        </w:rPr>
        <w:t xml:space="preserve"> </w:t>
      </w:r>
    </w:p>
    <w:p w:rsidR="00B723C3" w:rsidRDefault="00B723C3" w:rsidP="00B723C3">
      <w:pPr>
        <w:ind w:firstLine="720"/>
        <w:jc w:val="both"/>
        <w:rPr>
          <w:lang w:val="hr-BA"/>
        </w:rPr>
      </w:pPr>
    </w:p>
    <w:p w:rsidR="00B723C3" w:rsidRPr="00DC7325" w:rsidRDefault="00B723C3" w:rsidP="00B723C3">
      <w:pPr>
        <w:ind w:firstLine="720"/>
        <w:jc w:val="both"/>
        <w:rPr>
          <w:lang w:val="hr-HR"/>
        </w:rPr>
      </w:pPr>
      <w:r w:rsidRPr="00575863">
        <w:rPr>
          <w:lang w:val="hr-BA"/>
        </w:rPr>
        <w:t>Više podataka o kapitalnim izdacima je dato u tabeli koja slijedi.</w:t>
      </w:r>
    </w:p>
    <w:p w:rsidR="00B723C3" w:rsidRPr="00575863" w:rsidRDefault="00B723C3" w:rsidP="00B723C3">
      <w:pPr>
        <w:jc w:val="both"/>
        <w:rPr>
          <w:lang w:val="hr-BA"/>
        </w:rPr>
      </w:pPr>
    </w:p>
    <w:p w:rsidR="00B723C3" w:rsidRPr="00575863" w:rsidRDefault="00B723C3" w:rsidP="00B723C3">
      <w:pPr>
        <w:jc w:val="both"/>
        <w:rPr>
          <w:szCs w:val="22"/>
          <w:lang w:val="hr-HR"/>
        </w:rPr>
      </w:pPr>
      <w:r w:rsidRPr="00575863">
        <w:rPr>
          <w:szCs w:val="22"/>
          <w:lang w:val="hr-HR"/>
        </w:rPr>
        <w:t>Predviđeni kapitalni projekti uključuju:</w:t>
      </w:r>
    </w:p>
    <w:p w:rsidR="00B723C3" w:rsidRDefault="00B723C3" w:rsidP="00B723C3">
      <w:pPr>
        <w:numPr>
          <w:ilvl w:val="0"/>
          <w:numId w:val="2"/>
        </w:numPr>
        <w:jc w:val="both"/>
        <w:rPr>
          <w:szCs w:val="22"/>
          <w:lang w:val="hr-HR"/>
        </w:rPr>
      </w:pPr>
      <w:r w:rsidRPr="00575863">
        <w:rPr>
          <w:szCs w:val="22"/>
          <w:lang w:val="hr-HR"/>
        </w:rPr>
        <w:t>Kapitalne projekte iz cestovne infrastrukture</w:t>
      </w:r>
      <w:r w:rsidR="009F3D3A">
        <w:rPr>
          <w:szCs w:val="22"/>
          <w:lang w:val="hr-HR"/>
        </w:rPr>
        <w:t>,</w:t>
      </w:r>
    </w:p>
    <w:p w:rsidR="00B723C3" w:rsidRPr="00575863" w:rsidRDefault="00B723C3" w:rsidP="00B723C3">
      <w:pPr>
        <w:numPr>
          <w:ilvl w:val="0"/>
          <w:numId w:val="2"/>
        </w:numPr>
        <w:jc w:val="both"/>
        <w:rPr>
          <w:szCs w:val="22"/>
          <w:lang w:val="hr-HR"/>
        </w:rPr>
      </w:pPr>
      <w:r>
        <w:rPr>
          <w:szCs w:val="22"/>
          <w:lang w:val="hr-HR"/>
        </w:rPr>
        <w:t>Kapitalne projekte iz oblasti vodoprivrede, obrazovanja i privrede i razvoja</w:t>
      </w:r>
      <w:r w:rsidR="009F3D3A">
        <w:rPr>
          <w:szCs w:val="22"/>
          <w:lang w:val="hr-HR"/>
        </w:rPr>
        <w:t>,</w:t>
      </w:r>
    </w:p>
    <w:p w:rsidR="00B723C3" w:rsidRDefault="00B723C3" w:rsidP="00B723C3">
      <w:pPr>
        <w:numPr>
          <w:ilvl w:val="0"/>
          <w:numId w:val="2"/>
        </w:numPr>
        <w:jc w:val="both"/>
        <w:rPr>
          <w:szCs w:val="22"/>
          <w:lang w:val="hr-HR"/>
        </w:rPr>
      </w:pPr>
      <w:r>
        <w:rPr>
          <w:szCs w:val="22"/>
          <w:lang w:val="hr-HR"/>
        </w:rPr>
        <w:t>Kapitalne projekte iz oblasti izgradnje javne rasvjete</w:t>
      </w:r>
      <w:r w:rsidR="009F3D3A">
        <w:rPr>
          <w:szCs w:val="22"/>
          <w:lang w:val="hr-HR"/>
        </w:rPr>
        <w:t>,</w:t>
      </w:r>
    </w:p>
    <w:p w:rsidR="00B723C3" w:rsidRPr="00575863" w:rsidRDefault="00B723C3" w:rsidP="00B723C3">
      <w:pPr>
        <w:numPr>
          <w:ilvl w:val="0"/>
          <w:numId w:val="2"/>
        </w:numPr>
        <w:jc w:val="both"/>
        <w:rPr>
          <w:szCs w:val="22"/>
          <w:lang w:val="hr-HR"/>
        </w:rPr>
      </w:pPr>
      <w:r>
        <w:rPr>
          <w:szCs w:val="22"/>
          <w:lang w:val="hr-HR"/>
        </w:rPr>
        <w:t>Nastavak izgradnje industrijske zone</w:t>
      </w:r>
      <w:r w:rsidR="009F3D3A">
        <w:rPr>
          <w:szCs w:val="22"/>
          <w:lang w:val="hr-HR"/>
        </w:rPr>
        <w:t>,</w:t>
      </w:r>
    </w:p>
    <w:p w:rsidR="00B723C3" w:rsidRDefault="00B723C3" w:rsidP="00B723C3">
      <w:pPr>
        <w:numPr>
          <w:ilvl w:val="0"/>
          <w:numId w:val="2"/>
        </w:numPr>
        <w:jc w:val="both"/>
        <w:rPr>
          <w:szCs w:val="22"/>
          <w:lang w:val="hr-HR"/>
        </w:rPr>
      </w:pPr>
      <w:r>
        <w:rPr>
          <w:szCs w:val="22"/>
          <w:lang w:val="hr-HR"/>
        </w:rPr>
        <w:t>Kapitalne projekte iz oblasti uređaja zajedničke komunalne potrošnje</w:t>
      </w:r>
      <w:r w:rsidR="009F3D3A">
        <w:rPr>
          <w:szCs w:val="22"/>
          <w:lang w:val="hr-HR"/>
        </w:rPr>
        <w:t>,</w:t>
      </w:r>
    </w:p>
    <w:p w:rsidR="00B723C3" w:rsidRPr="00575863" w:rsidRDefault="00B723C3" w:rsidP="00B723C3">
      <w:pPr>
        <w:numPr>
          <w:ilvl w:val="0"/>
          <w:numId w:val="2"/>
        </w:numPr>
        <w:jc w:val="both"/>
        <w:rPr>
          <w:szCs w:val="22"/>
          <w:lang w:val="hr-HR"/>
        </w:rPr>
      </w:pPr>
      <w:r>
        <w:rPr>
          <w:szCs w:val="22"/>
          <w:lang w:val="hr-HR"/>
        </w:rPr>
        <w:t>Nabavka stalnih sredstava</w:t>
      </w:r>
      <w:r w:rsidR="009F3D3A">
        <w:rPr>
          <w:szCs w:val="22"/>
          <w:lang w:val="hr-HR"/>
        </w:rPr>
        <w:t>.</w:t>
      </w:r>
    </w:p>
    <w:p w:rsidR="00B723C3" w:rsidRDefault="00B723C3" w:rsidP="00B723C3">
      <w:pPr>
        <w:pStyle w:val="Heading1"/>
        <w:spacing w:before="0" w:after="0"/>
        <w:rPr>
          <w:rFonts w:ascii="Times New Roman" w:hAnsi="Times New Roman" w:cs="Times New Roman"/>
          <w:bCs w:val="0"/>
          <w:sz w:val="24"/>
          <w:szCs w:val="24"/>
          <w:lang w:val="hr-BA"/>
        </w:rPr>
      </w:pPr>
    </w:p>
    <w:p w:rsidR="00B723C3" w:rsidRDefault="00B723C3" w:rsidP="00B723C3">
      <w:pPr>
        <w:ind w:firstLine="720"/>
        <w:jc w:val="both"/>
        <w:rPr>
          <w:lang w:val="hr-BA"/>
        </w:rPr>
      </w:pPr>
      <w:r>
        <w:rPr>
          <w:lang w:val="hr-BA"/>
        </w:rPr>
        <w:t>Njihova pojedinačna visina i raspored po nadležnim korisnicima bi</w:t>
      </w:r>
      <w:r w:rsidR="009F3D3A">
        <w:rPr>
          <w:lang w:val="hr-BA"/>
        </w:rPr>
        <w:t xml:space="preserve">t </w:t>
      </w:r>
      <w:r>
        <w:rPr>
          <w:lang w:val="hr-BA"/>
        </w:rPr>
        <w:t>će utvrđena budžetima svake projicirane godine.</w:t>
      </w:r>
    </w:p>
    <w:p w:rsidR="00DF70D5" w:rsidRDefault="00DF70D5" w:rsidP="00B723C3">
      <w:pPr>
        <w:pStyle w:val="BodyText"/>
        <w:spacing w:after="0"/>
        <w:jc w:val="both"/>
        <w:rPr>
          <w:bCs/>
          <w:lang w:val="hr-BA"/>
        </w:rPr>
      </w:pPr>
    </w:p>
    <w:p w:rsidR="00B723C3" w:rsidRDefault="00EB5523" w:rsidP="00B723C3">
      <w:pPr>
        <w:pStyle w:val="Heading1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  <w:lang w:val="hr-BA"/>
        </w:rPr>
      </w:pPr>
      <w:r>
        <w:rPr>
          <w:rFonts w:ascii="Times New Roman" w:hAnsi="Times New Roman" w:cs="Times New Roman"/>
          <w:bCs w:val="0"/>
          <w:sz w:val="24"/>
          <w:szCs w:val="24"/>
          <w:lang w:val="hr-BA"/>
        </w:rPr>
        <w:t xml:space="preserve">POGLAVLJE III. </w:t>
      </w:r>
      <w:r w:rsidR="00B723C3">
        <w:rPr>
          <w:rFonts w:ascii="Times New Roman" w:hAnsi="Times New Roman" w:cs="Times New Roman"/>
          <w:bCs w:val="0"/>
          <w:sz w:val="24"/>
          <w:szCs w:val="24"/>
          <w:lang w:val="hr-BA"/>
        </w:rPr>
        <w:t>OKVIRNE TABELE PRIHODA I RASHODA BUDŽETA OPĆINE ZAVIDOVIĆI</w:t>
      </w:r>
    </w:p>
    <w:p w:rsidR="00B723C3" w:rsidRPr="00575863" w:rsidRDefault="00B723C3" w:rsidP="00B723C3">
      <w:pPr>
        <w:ind w:firstLine="720"/>
        <w:jc w:val="both"/>
        <w:rPr>
          <w:szCs w:val="22"/>
          <w:lang w:val="hr-HR"/>
        </w:rPr>
      </w:pPr>
      <w:r w:rsidRPr="00575863">
        <w:rPr>
          <w:szCs w:val="22"/>
          <w:lang w:val="hr-BA"/>
        </w:rPr>
        <w:t>Budžet je glavni inst</w:t>
      </w:r>
      <w:r>
        <w:rPr>
          <w:szCs w:val="22"/>
          <w:lang w:val="hr-BA"/>
        </w:rPr>
        <w:t>rument za određivanje politika v</w:t>
      </w:r>
      <w:r w:rsidRPr="00575863">
        <w:rPr>
          <w:szCs w:val="22"/>
          <w:lang w:val="hr-BA"/>
        </w:rPr>
        <w:t>lada. On je sredstvo pu</w:t>
      </w:r>
      <w:r>
        <w:rPr>
          <w:szCs w:val="22"/>
          <w:lang w:val="hr-BA"/>
        </w:rPr>
        <w:t>tem kojeg se strateški ciljevi v</w:t>
      </w:r>
      <w:r w:rsidRPr="00575863">
        <w:rPr>
          <w:szCs w:val="22"/>
          <w:lang w:val="hr-BA"/>
        </w:rPr>
        <w:t xml:space="preserve">lade prevode u usluge, programe i aktivnosti koje su usmjerene ka ispunjavanju socijalnih i ekonomskih potreba građana. </w:t>
      </w:r>
    </w:p>
    <w:p w:rsidR="00B723C3" w:rsidRPr="00575863" w:rsidRDefault="00B723C3" w:rsidP="00B723C3">
      <w:pPr>
        <w:ind w:firstLine="720"/>
        <w:jc w:val="both"/>
        <w:rPr>
          <w:lang w:val="hr-HR"/>
        </w:rPr>
      </w:pPr>
      <w:r>
        <w:rPr>
          <w:lang w:val="hr-BA"/>
        </w:rPr>
        <w:t>Suočen</w:t>
      </w:r>
      <w:r w:rsidRPr="00575863">
        <w:rPr>
          <w:lang w:val="hr-BA"/>
        </w:rPr>
        <w:t xml:space="preserve"> sa prioritetima i zahtjevima budžetskih korisnika koji </w:t>
      </w:r>
      <w:r>
        <w:rPr>
          <w:lang w:val="hr-BA"/>
        </w:rPr>
        <w:t>prevazilaze</w:t>
      </w:r>
      <w:r w:rsidRPr="00575863">
        <w:rPr>
          <w:lang w:val="hr-BA"/>
        </w:rPr>
        <w:t xml:space="preserve"> nivo raspoloživih resursa, </w:t>
      </w:r>
      <w:r>
        <w:rPr>
          <w:lang w:val="hr-BA"/>
        </w:rPr>
        <w:t>Općinski načelnik je obavezan</w:t>
      </w:r>
      <w:r w:rsidRPr="00575863">
        <w:rPr>
          <w:lang w:val="hr-BA"/>
        </w:rPr>
        <w:t xml:space="preserve"> da donese</w:t>
      </w:r>
      <w:r>
        <w:rPr>
          <w:lang w:val="hr-BA"/>
        </w:rPr>
        <w:t xml:space="preserve"> odluke o tome koje su njegove</w:t>
      </w:r>
      <w:r w:rsidRPr="00575863">
        <w:rPr>
          <w:lang w:val="hr-BA"/>
        </w:rPr>
        <w:t xml:space="preserve"> prioritetne politike. </w:t>
      </w:r>
      <w:r>
        <w:rPr>
          <w:lang w:val="hr-BA"/>
        </w:rPr>
        <w:t>Općinske službe su imale</w:t>
      </w:r>
      <w:r w:rsidRPr="00575863">
        <w:rPr>
          <w:lang w:val="hr-BA"/>
        </w:rPr>
        <w:t xml:space="preserve"> obavezu pripremiti i dostaviti </w:t>
      </w:r>
      <w:r>
        <w:rPr>
          <w:lang w:val="hr-BA"/>
        </w:rPr>
        <w:t>Službi za upravu ekonomskih poslova i poduzetništvo preglede</w:t>
      </w:r>
      <w:r w:rsidRPr="00575863">
        <w:rPr>
          <w:lang w:val="hr-BA"/>
        </w:rPr>
        <w:t xml:space="preserve"> prioriteta</w:t>
      </w:r>
      <w:r>
        <w:rPr>
          <w:lang w:val="hr-BA"/>
        </w:rPr>
        <w:t>.</w:t>
      </w:r>
      <w:r w:rsidRPr="00575863">
        <w:rPr>
          <w:lang w:val="hr-BA"/>
        </w:rPr>
        <w:t xml:space="preserve"> Cilj ovih tabela je da </w:t>
      </w:r>
      <w:r>
        <w:rPr>
          <w:lang w:val="hr-BA"/>
        </w:rPr>
        <w:t>općinskim službama</w:t>
      </w:r>
      <w:r w:rsidRPr="00575863">
        <w:rPr>
          <w:lang w:val="hr-BA"/>
        </w:rPr>
        <w:t xml:space="preserve"> pruže mogućnost da doprinesu izradi Dokumenta okvirnog budžeta za period 20</w:t>
      </w:r>
      <w:r w:rsidRPr="00575863">
        <w:rPr>
          <w:lang w:val="hr-HR"/>
        </w:rPr>
        <w:t>1</w:t>
      </w:r>
      <w:r>
        <w:rPr>
          <w:lang w:val="hr-BA"/>
        </w:rPr>
        <w:t>8.</w:t>
      </w:r>
      <w:r w:rsidRPr="00575863">
        <w:rPr>
          <w:lang w:val="hr-BA"/>
        </w:rPr>
        <w:t xml:space="preserve"> - </w:t>
      </w:r>
      <w:r>
        <w:rPr>
          <w:lang w:val="hr-BA"/>
        </w:rPr>
        <w:t>2020</w:t>
      </w:r>
      <w:r w:rsidRPr="00575863">
        <w:rPr>
          <w:lang w:val="hr-BA"/>
        </w:rPr>
        <w:t>. godinu</w:t>
      </w:r>
      <w:r>
        <w:rPr>
          <w:lang w:val="hr-BA"/>
        </w:rPr>
        <w:t>,</w:t>
      </w:r>
      <w:r w:rsidRPr="00575863">
        <w:rPr>
          <w:lang w:val="hr-BA"/>
        </w:rPr>
        <w:t xml:space="preserve"> tako što će odrediti svoje ključne prioritete za raspodjelu budžeta za 20</w:t>
      </w:r>
      <w:r w:rsidRPr="00575863">
        <w:rPr>
          <w:lang w:val="hr-HR"/>
        </w:rPr>
        <w:t>1</w:t>
      </w:r>
      <w:r>
        <w:rPr>
          <w:lang w:val="hr-HR"/>
        </w:rPr>
        <w:t>8</w:t>
      </w:r>
      <w:r w:rsidRPr="00575863">
        <w:rPr>
          <w:lang w:val="hr-BA"/>
        </w:rPr>
        <w:t xml:space="preserve">. godinu i za naredne godine, a u skladu sa ciljevima ekonomskih i društvenih politika. </w:t>
      </w:r>
      <w:r>
        <w:rPr>
          <w:lang w:val="hr-BA"/>
        </w:rPr>
        <w:t xml:space="preserve">Službe </w:t>
      </w:r>
      <w:r w:rsidRPr="00575863">
        <w:rPr>
          <w:lang w:val="hr-BA"/>
        </w:rPr>
        <w:t xml:space="preserve"> su utvrdil</w:t>
      </w:r>
      <w:r>
        <w:rPr>
          <w:lang w:val="hr-BA"/>
        </w:rPr>
        <w:t>e</w:t>
      </w:r>
      <w:r w:rsidR="009F3D3A">
        <w:rPr>
          <w:lang w:val="hr-BA"/>
        </w:rPr>
        <w:t xml:space="preserve"> </w:t>
      </w:r>
      <w:r w:rsidRPr="00575863">
        <w:rPr>
          <w:lang w:val="hr-BA"/>
        </w:rPr>
        <w:t xml:space="preserve">i svoje prijedloge visoko prioritetne potrošnje (za postojeće i nove programe/aktivnosti), kao i moguće uštede/opcije smanjenja za programe nižeg prioriteta, kako bi se ti resursi preusmjerili </w:t>
      </w:r>
      <w:r>
        <w:rPr>
          <w:lang w:val="hr-BA"/>
        </w:rPr>
        <w:t>na inicijative višeg prioriteta.</w:t>
      </w:r>
      <w:r w:rsidRPr="00575863">
        <w:rPr>
          <w:lang w:val="hr-BA"/>
        </w:rPr>
        <w:t xml:space="preserve"> </w:t>
      </w:r>
    </w:p>
    <w:p w:rsidR="00B723C3" w:rsidRDefault="00B723C3" w:rsidP="00B723C3">
      <w:pPr>
        <w:ind w:firstLine="720"/>
        <w:jc w:val="both"/>
        <w:rPr>
          <w:lang w:val="hr-BA"/>
        </w:rPr>
      </w:pPr>
      <w:r w:rsidRPr="00575863">
        <w:rPr>
          <w:lang w:val="hr-HR"/>
        </w:rPr>
        <w:t>U prilogu su date tabele prihoda</w:t>
      </w:r>
      <w:r>
        <w:rPr>
          <w:lang w:val="hr-HR"/>
        </w:rPr>
        <w:t xml:space="preserve"> (</w:t>
      </w:r>
      <w:r w:rsidR="00EA2B5E" w:rsidRPr="00EA2B5E">
        <w:rPr>
          <w:lang w:val="hr-HR"/>
        </w:rPr>
        <w:t>tabela IV</w:t>
      </w:r>
      <w:r>
        <w:rPr>
          <w:lang w:val="hr-HR"/>
        </w:rPr>
        <w:t>)</w:t>
      </w:r>
      <w:r w:rsidRPr="00575863">
        <w:rPr>
          <w:lang w:val="hr-HR"/>
        </w:rPr>
        <w:t xml:space="preserve"> i potrošnje </w:t>
      </w:r>
      <w:r w:rsidR="009F3D3A">
        <w:rPr>
          <w:lang w:val="hr-HR"/>
        </w:rPr>
        <w:t>B</w:t>
      </w:r>
      <w:r w:rsidRPr="00575863">
        <w:rPr>
          <w:lang w:val="hr-HR"/>
        </w:rPr>
        <w:t xml:space="preserve">udžeta </w:t>
      </w:r>
      <w:r>
        <w:rPr>
          <w:lang w:val="hr-HR"/>
        </w:rPr>
        <w:t>općine Zavidovići kao i tabela funkcionalne klasifikacije (</w:t>
      </w:r>
      <w:r w:rsidR="00EA2B5E">
        <w:rPr>
          <w:lang w:val="hr-HR"/>
        </w:rPr>
        <w:t>tabela V</w:t>
      </w:r>
      <w:r>
        <w:rPr>
          <w:lang w:val="hr-HR"/>
        </w:rPr>
        <w:t>), koje predstavljaju okvirne veličine poslovanja u narednom trogodišnjem periodu.</w:t>
      </w:r>
    </w:p>
    <w:p w:rsidR="00EB5523" w:rsidRPr="00575863" w:rsidRDefault="00EB5523" w:rsidP="0003508E">
      <w:pPr>
        <w:jc w:val="both"/>
        <w:rPr>
          <w:szCs w:val="22"/>
          <w:lang w:val="hr-HR"/>
        </w:rPr>
        <w:sectPr w:rsidR="00EB5523" w:rsidRPr="00575863" w:rsidSect="00B9146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62" w:right="1440" w:bottom="1440" w:left="1440" w:header="1021" w:footer="136" w:gutter="0"/>
          <w:cols w:space="720"/>
          <w:titlePg/>
        </w:sectPr>
      </w:pPr>
    </w:p>
    <w:p w:rsidR="00426279" w:rsidRDefault="00426279" w:rsidP="0003508E">
      <w:pPr>
        <w:jc w:val="both"/>
        <w:rPr>
          <w:lang w:val="hr-BA"/>
        </w:rPr>
      </w:pPr>
    </w:p>
    <w:sectPr w:rsidR="00426279" w:rsidSect="00A35B03">
      <w:headerReference w:type="even" r:id="rId15"/>
      <w:pgSz w:w="15840" w:h="12240" w:orient="landscape"/>
      <w:pgMar w:top="2160" w:right="1440" w:bottom="179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5D" w:rsidRDefault="0029385D">
      <w:r>
        <w:separator/>
      </w:r>
    </w:p>
  </w:endnote>
  <w:endnote w:type="continuationSeparator" w:id="1">
    <w:p w:rsidR="0029385D" w:rsidRDefault="0029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C" w:rsidRDefault="00313262" w:rsidP="002F3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0D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D3C" w:rsidRDefault="00050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C" w:rsidRDefault="00050D3C" w:rsidP="00B9146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Općina Zavidovići, Ul. Safvet bega Bašagića bb. 72220 Zavidovići</w:t>
    </w:r>
  </w:p>
  <w:p w:rsidR="00050D3C" w:rsidRDefault="00050D3C" w:rsidP="00B9146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tel:  032-878-314 centrala, fax: 032-868-230, </w:t>
    </w:r>
    <w:hyperlink r:id="rId1" w:history="1">
      <w:r>
        <w:rPr>
          <w:rStyle w:val="Hyperlink"/>
          <w:sz w:val="20"/>
          <w:szCs w:val="20"/>
        </w:rPr>
        <w:t>www.zavidovici.ba</w:t>
      </w:r>
    </w:hyperlink>
    <w:r>
      <w:rPr>
        <w:sz w:val="20"/>
        <w:szCs w:val="20"/>
      </w:rPr>
      <w:t>, opzdici@bih.net.ba</w:t>
    </w:r>
  </w:p>
  <w:p w:rsidR="00050D3C" w:rsidRDefault="00050D3C" w:rsidP="00B91464">
    <w:pPr>
      <w:pStyle w:val="Footer"/>
      <w:rPr>
        <w:sz w:val="20"/>
        <w:szCs w:val="20"/>
      </w:rPr>
    </w:pPr>
  </w:p>
  <w:p w:rsidR="00050D3C" w:rsidRPr="000A3E71" w:rsidRDefault="00050D3C" w:rsidP="007A0AD6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C" w:rsidRDefault="00050D3C" w:rsidP="00B9146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Općina Zavidovići, Ul. Safvet bega Bašagića bb. 72220 Zavidovići</w:t>
    </w:r>
  </w:p>
  <w:p w:rsidR="00050D3C" w:rsidRDefault="00050D3C" w:rsidP="00B9146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tel:  032-878-314 centrala, fax: 032-868-230, </w:t>
    </w:r>
    <w:hyperlink r:id="rId1" w:history="1">
      <w:r>
        <w:rPr>
          <w:rStyle w:val="Hyperlink"/>
          <w:sz w:val="20"/>
          <w:szCs w:val="20"/>
        </w:rPr>
        <w:t>www.zavidovici.ba</w:t>
      </w:r>
    </w:hyperlink>
    <w:r>
      <w:rPr>
        <w:sz w:val="20"/>
        <w:szCs w:val="20"/>
      </w:rPr>
      <w:t>, opzdici@bih.net.ba</w:t>
    </w:r>
  </w:p>
  <w:p w:rsidR="00050D3C" w:rsidRDefault="00050D3C" w:rsidP="00B91464">
    <w:pPr>
      <w:pStyle w:val="Footer"/>
      <w:rPr>
        <w:sz w:val="20"/>
        <w:szCs w:val="20"/>
      </w:rPr>
    </w:pPr>
  </w:p>
  <w:p w:rsidR="00050D3C" w:rsidRDefault="00050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5D" w:rsidRDefault="0029385D">
      <w:r>
        <w:separator/>
      </w:r>
    </w:p>
  </w:footnote>
  <w:footnote w:type="continuationSeparator" w:id="1">
    <w:p w:rsidR="0029385D" w:rsidRDefault="0029385D">
      <w:r>
        <w:continuationSeparator/>
      </w:r>
    </w:p>
  </w:footnote>
  <w:footnote w:id="2">
    <w:p w:rsidR="00050D3C" w:rsidRPr="002B1C08" w:rsidRDefault="00050D3C" w:rsidP="0094449C">
      <w:pPr>
        <w:pStyle w:val="Footnote0"/>
        <w:shd w:val="clear" w:color="auto" w:fill="auto"/>
        <w:tabs>
          <w:tab w:val="left" w:pos="130"/>
        </w:tabs>
        <w:ind w:left="20" w:right="880"/>
        <w:rPr>
          <w:rFonts w:ascii="Times New Roman" w:hAnsi="Times New Roman"/>
          <w:b w:val="0"/>
          <w:sz w:val="16"/>
          <w:szCs w:val="16"/>
        </w:rPr>
      </w:pPr>
      <w:r w:rsidRPr="002B1C08">
        <w:rPr>
          <w:rFonts w:ascii="Times New Roman" w:hAnsi="Times New Roman"/>
          <w:b w:val="0"/>
          <w:sz w:val="16"/>
          <w:szCs w:val="16"/>
          <w:vertAlign w:val="superscript"/>
        </w:rPr>
        <w:footnoteRef/>
      </w:r>
      <w:r w:rsidRPr="002B1C08">
        <w:rPr>
          <w:rFonts w:ascii="Times New Roman" w:hAnsi="Times New Roman"/>
          <w:b w:val="0"/>
          <w:sz w:val="16"/>
          <w:szCs w:val="16"/>
        </w:rPr>
        <w:tab/>
        <w:t>Agencija za statistiku Bosne i Hercegovine, saopštenje, „ Bruto domaći proizvod, proizvodni pristup, tromjesečni podaci", 04.01.2018. godine.</w:t>
      </w:r>
    </w:p>
  </w:footnote>
  <w:footnote w:id="3">
    <w:p w:rsidR="00050D3C" w:rsidRPr="00CF0A22" w:rsidRDefault="00050D3C" w:rsidP="00CF0A22">
      <w:pPr>
        <w:pStyle w:val="Footnote0"/>
        <w:shd w:val="clear" w:color="auto" w:fill="auto"/>
        <w:tabs>
          <w:tab w:val="left" w:pos="140"/>
        </w:tabs>
        <w:spacing w:line="170" w:lineRule="exact"/>
        <w:ind w:left="20"/>
        <w:rPr>
          <w:rFonts w:ascii="Times New Roman" w:hAnsi="Times New Roman"/>
          <w:b w:val="0"/>
          <w:sz w:val="16"/>
          <w:szCs w:val="16"/>
        </w:rPr>
      </w:pPr>
      <w:r w:rsidRPr="00CF0A22">
        <w:rPr>
          <w:rFonts w:ascii="Times New Roman" w:hAnsi="Times New Roman"/>
          <w:b w:val="0"/>
          <w:sz w:val="16"/>
          <w:szCs w:val="16"/>
          <w:vertAlign w:val="superscript"/>
        </w:rPr>
        <w:footnoteRef/>
      </w:r>
      <w:r w:rsidRPr="00CF0A22">
        <w:rPr>
          <w:rFonts w:ascii="Times New Roman" w:hAnsi="Times New Roman"/>
          <w:b w:val="0"/>
          <w:sz w:val="16"/>
          <w:szCs w:val="16"/>
        </w:rPr>
        <w:tab/>
        <w:t>Eurostat, newsrelease 165/2017, 31 October 2017.</w:t>
      </w:r>
    </w:p>
  </w:footnote>
  <w:footnote w:id="4">
    <w:p w:rsidR="00050D3C" w:rsidRPr="00CF0A22" w:rsidRDefault="00050D3C" w:rsidP="00CF0A22">
      <w:pPr>
        <w:pStyle w:val="Footnote0"/>
        <w:shd w:val="clear" w:color="auto" w:fill="auto"/>
        <w:tabs>
          <w:tab w:val="left" w:pos="121"/>
        </w:tabs>
        <w:spacing w:line="245" w:lineRule="exact"/>
        <w:ind w:left="20"/>
        <w:rPr>
          <w:rFonts w:ascii="Times New Roman" w:hAnsi="Times New Roman"/>
          <w:b w:val="0"/>
          <w:sz w:val="16"/>
          <w:szCs w:val="16"/>
        </w:rPr>
      </w:pPr>
      <w:r w:rsidRPr="00CF0A22">
        <w:rPr>
          <w:rFonts w:ascii="Times New Roman" w:hAnsi="Times New Roman"/>
          <w:b w:val="0"/>
          <w:sz w:val="16"/>
          <w:szCs w:val="16"/>
          <w:vertAlign w:val="superscript"/>
        </w:rPr>
        <w:footnoteRef/>
      </w:r>
      <w:r w:rsidRPr="00CF0A22">
        <w:rPr>
          <w:rFonts w:ascii="Times New Roman" w:hAnsi="Times New Roman"/>
          <w:b w:val="0"/>
          <w:sz w:val="16"/>
          <w:szCs w:val="16"/>
        </w:rPr>
        <w:tab/>
        <w:t>Agencija za statistiku BiH, Saopštenje, „Indeksi jediničnih vrijednosti izvoza i uvoza BiH, VII-IX 2017", 20.11.2017.</w:t>
      </w:r>
    </w:p>
  </w:footnote>
  <w:footnote w:id="5">
    <w:p w:rsidR="00050D3C" w:rsidRPr="00C57EC9" w:rsidRDefault="00050D3C" w:rsidP="00C57EC9">
      <w:pPr>
        <w:pStyle w:val="Footnote0"/>
        <w:shd w:val="clear" w:color="auto" w:fill="auto"/>
        <w:tabs>
          <w:tab w:val="left" w:pos="115"/>
        </w:tabs>
        <w:rPr>
          <w:rFonts w:ascii="Times New Roman" w:hAnsi="Times New Roman"/>
          <w:b w:val="0"/>
          <w:sz w:val="16"/>
          <w:szCs w:val="16"/>
        </w:rPr>
      </w:pPr>
      <w:r w:rsidRPr="00C57EC9">
        <w:rPr>
          <w:rFonts w:ascii="Times New Roman" w:hAnsi="Times New Roman"/>
          <w:b w:val="0"/>
          <w:sz w:val="16"/>
          <w:szCs w:val="16"/>
          <w:vertAlign w:val="superscript"/>
        </w:rPr>
        <w:footnoteRef/>
      </w:r>
      <w:r w:rsidRPr="00C57EC9">
        <w:rPr>
          <w:rFonts w:ascii="Times New Roman" w:hAnsi="Times New Roman"/>
          <w:b w:val="0"/>
          <w:sz w:val="16"/>
          <w:szCs w:val="16"/>
        </w:rPr>
        <w:tab/>
        <w:t>Službeni glasnik BiH br</w:t>
      </w:r>
      <w:r>
        <w:rPr>
          <w:rFonts w:ascii="Times New Roman" w:hAnsi="Times New Roman"/>
          <w:b w:val="0"/>
          <w:sz w:val="16"/>
          <w:szCs w:val="16"/>
          <w:lang w:val="en-GB"/>
        </w:rPr>
        <w:t>oj:</w:t>
      </w:r>
      <w:r>
        <w:rPr>
          <w:rFonts w:ascii="Times New Roman" w:hAnsi="Times New Roman"/>
          <w:b w:val="0"/>
          <w:sz w:val="16"/>
          <w:szCs w:val="16"/>
        </w:rPr>
        <w:t xml:space="preserve"> 91/</w:t>
      </w:r>
      <w:r w:rsidRPr="00C57EC9">
        <w:rPr>
          <w:rFonts w:ascii="Times New Roman" w:hAnsi="Times New Roman"/>
          <w:b w:val="0"/>
          <w:sz w:val="16"/>
          <w:szCs w:val="16"/>
        </w:rPr>
        <w:t>17</w:t>
      </w:r>
    </w:p>
  </w:footnote>
  <w:footnote w:id="6">
    <w:p w:rsidR="00050D3C" w:rsidRDefault="00050D3C" w:rsidP="00C57EC9">
      <w:pPr>
        <w:pStyle w:val="Footnote0"/>
        <w:shd w:val="clear" w:color="auto" w:fill="auto"/>
        <w:tabs>
          <w:tab w:val="left" w:pos="125"/>
        </w:tabs>
      </w:pPr>
      <w:r w:rsidRPr="00C57EC9">
        <w:rPr>
          <w:rFonts w:ascii="Times New Roman" w:hAnsi="Times New Roman"/>
          <w:b w:val="0"/>
          <w:sz w:val="16"/>
          <w:szCs w:val="16"/>
          <w:vertAlign w:val="superscript"/>
        </w:rPr>
        <w:footnoteRef/>
      </w:r>
      <w:r w:rsidRPr="00C57EC9">
        <w:rPr>
          <w:rFonts w:ascii="Times New Roman" w:hAnsi="Times New Roman"/>
          <w:b w:val="0"/>
          <w:sz w:val="16"/>
          <w:szCs w:val="16"/>
        </w:rPr>
        <w:tab/>
        <w:t>Nova politika je u primjeni od 01.08.2014. (Izmjene Zakona o akcizama u BiH „Službeni glasnik BiH" br</w:t>
      </w:r>
      <w:r>
        <w:rPr>
          <w:rFonts w:ascii="Times New Roman" w:hAnsi="Times New Roman"/>
          <w:b w:val="0"/>
          <w:sz w:val="16"/>
          <w:szCs w:val="16"/>
          <w:lang w:val="en-GB"/>
        </w:rPr>
        <w:t>oj:</w:t>
      </w:r>
      <w:r w:rsidRPr="00C57EC9">
        <w:rPr>
          <w:rFonts w:ascii="Times New Roman" w:hAnsi="Times New Roman"/>
          <w:b w:val="0"/>
          <w:sz w:val="16"/>
          <w:szCs w:val="16"/>
        </w:rPr>
        <w:t xml:space="preserve"> 49/14)</w:t>
      </w:r>
    </w:p>
  </w:footnote>
  <w:footnote w:id="7">
    <w:p w:rsidR="00050D3C" w:rsidRPr="00C57EC9" w:rsidRDefault="00050D3C" w:rsidP="00C57EC9">
      <w:pPr>
        <w:pStyle w:val="Footnote0"/>
        <w:shd w:val="clear" w:color="auto" w:fill="auto"/>
        <w:tabs>
          <w:tab w:val="left" w:pos="154"/>
        </w:tabs>
        <w:rPr>
          <w:rFonts w:ascii="Times New Roman" w:hAnsi="Times New Roman"/>
          <w:b w:val="0"/>
          <w:sz w:val="16"/>
          <w:szCs w:val="16"/>
        </w:rPr>
      </w:pPr>
      <w:r w:rsidRPr="00C57EC9">
        <w:rPr>
          <w:rFonts w:ascii="Times New Roman" w:hAnsi="Times New Roman"/>
          <w:b w:val="0"/>
          <w:sz w:val="16"/>
          <w:szCs w:val="16"/>
          <w:vertAlign w:val="superscript"/>
        </w:rPr>
        <w:footnoteRef/>
      </w:r>
      <w:r w:rsidRPr="00C57EC9">
        <w:rPr>
          <w:rFonts w:ascii="Times New Roman" w:hAnsi="Times New Roman"/>
          <w:b w:val="0"/>
          <w:sz w:val="16"/>
          <w:szCs w:val="16"/>
        </w:rPr>
        <w:tab/>
        <w:t>Odluka o utvrđivanju specifične i minimalne akcize na cigarete i iznos akcize na duhan za pušenje za 2018.godinu (Službeni glasnik BiH br</w:t>
      </w:r>
      <w:r>
        <w:rPr>
          <w:rFonts w:ascii="Times New Roman" w:hAnsi="Times New Roman"/>
          <w:b w:val="0"/>
          <w:sz w:val="16"/>
          <w:szCs w:val="16"/>
          <w:lang w:val="en-GB"/>
        </w:rPr>
        <w:t>oj:</w:t>
      </w:r>
      <w:r>
        <w:rPr>
          <w:rFonts w:ascii="Times New Roman" w:hAnsi="Times New Roman"/>
          <w:b w:val="0"/>
          <w:sz w:val="16"/>
          <w:szCs w:val="16"/>
        </w:rPr>
        <w:t xml:space="preserve"> 84/</w:t>
      </w:r>
      <w:r w:rsidRPr="00C57EC9">
        <w:rPr>
          <w:rFonts w:ascii="Times New Roman" w:hAnsi="Times New Roman"/>
          <w:b w:val="0"/>
          <w:sz w:val="16"/>
          <w:szCs w:val="16"/>
        </w:rPr>
        <w:t>17).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C" w:rsidRDefault="00050D3C" w:rsidP="00B91464">
    <w:pPr>
      <w:pStyle w:val="Header"/>
    </w:pPr>
    <w:r w:rsidRPr="001121DA">
      <w:rPr>
        <w:b/>
        <w:i/>
        <w:sz w:val="28"/>
        <w:szCs w:val="28"/>
        <w:u w:val="single"/>
        <w:lang w:val="bs-Latn-BA"/>
      </w:rPr>
      <w:t>SLUŽBENI  GLASNIK  OPĆINE  ZAVIDOVIĆI               broj              6/2018</w:t>
    </w:r>
  </w:p>
  <w:p w:rsidR="00050D3C" w:rsidRPr="00550D7F" w:rsidRDefault="00050D3C">
    <w:pPr>
      <w:pStyle w:val="Header"/>
      <w:rPr>
        <w:i/>
      </w:rPr>
    </w:pPr>
    <w:r w:rsidRPr="00550D7F">
      <w:rPr>
        <w:i/>
      </w:rPr>
      <w:t>Dokument okvirnog budžeta općine Zavidovići za period 2019</w:t>
    </w:r>
    <w:r w:rsidR="005C0F97">
      <w:rPr>
        <w:i/>
      </w:rPr>
      <w:t xml:space="preserve">. – </w:t>
    </w:r>
    <w:r w:rsidRPr="00550D7F">
      <w:rPr>
        <w:i/>
      </w:rPr>
      <w:t>2021</w:t>
    </w:r>
    <w:r w:rsidR="005C0F97">
      <w:rPr>
        <w:i/>
      </w:rPr>
      <w:t>.</w:t>
    </w:r>
    <w:r w:rsidRPr="00550D7F">
      <w:rPr>
        <w:i/>
      </w:rPr>
      <w:t xml:space="preserve"> godina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C" w:rsidRDefault="00050D3C">
    <w:pPr>
      <w:pStyle w:val="Header"/>
    </w:pPr>
    <w:r w:rsidRPr="001121DA">
      <w:rPr>
        <w:b/>
        <w:i/>
        <w:sz w:val="28"/>
        <w:szCs w:val="28"/>
        <w:u w:val="single"/>
        <w:lang w:val="bs-Latn-BA"/>
      </w:rPr>
      <w:t>SLUŽBENI  GLASNIK  OPĆINE  ZAVIDOVIĆI               broj              6/2018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C" w:rsidRDefault="00050D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3E44B6"/>
    <w:multiLevelType w:val="hybridMultilevel"/>
    <w:tmpl w:val="0012EC90"/>
    <w:lvl w:ilvl="0" w:tplc="ABC2CA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6FC"/>
    <w:multiLevelType w:val="multilevel"/>
    <w:tmpl w:val="1334FD4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0229B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DB75018"/>
    <w:multiLevelType w:val="multilevel"/>
    <w:tmpl w:val="DCC04DEE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A4B68"/>
    <w:multiLevelType w:val="hybridMultilevel"/>
    <w:tmpl w:val="24040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E0BE6"/>
    <w:multiLevelType w:val="multilevel"/>
    <w:tmpl w:val="6138FA14"/>
    <w:lvl w:ilvl="0">
      <w:start w:val="2"/>
      <w:numFmt w:val="decimal"/>
      <w:lvlText w:val="3.1.%1.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7361F"/>
    <w:multiLevelType w:val="multilevel"/>
    <w:tmpl w:val="0B2CEF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61947"/>
    <w:multiLevelType w:val="hybridMultilevel"/>
    <w:tmpl w:val="ED406184"/>
    <w:lvl w:ilvl="0" w:tplc="AF861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D04BC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2BD078C6"/>
    <w:multiLevelType w:val="multilevel"/>
    <w:tmpl w:val="2B84AE66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D0C28"/>
    <w:multiLevelType w:val="hybridMultilevel"/>
    <w:tmpl w:val="1A8A9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3">
    <w:nsid w:val="3E54556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3EDC36CF"/>
    <w:multiLevelType w:val="hybridMultilevel"/>
    <w:tmpl w:val="A952378A"/>
    <w:lvl w:ilvl="0" w:tplc="ABC2CA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E412B"/>
    <w:multiLevelType w:val="multilevel"/>
    <w:tmpl w:val="C2CCB906"/>
    <w:lvl w:ilvl="0">
      <w:start w:val="1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853FD"/>
    <w:multiLevelType w:val="multilevel"/>
    <w:tmpl w:val="D12C31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55E15145"/>
    <w:multiLevelType w:val="multilevel"/>
    <w:tmpl w:val="3722875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7F7E19"/>
    <w:multiLevelType w:val="multilevel"/>
    <w:tmpl w:val="C50C0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608064FD"/>
    <w:multiLevelType w:val="multilevel"/>
    <w:tmpl w:val="F4D40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60EE4C3B"/>
    <w:multiLevelType w:val="hybridMultilevel"/>
    <w:tmpl w:val="4B90394A"/>
    <w:lvl w:ilvl="0" w:tplc="A190BC0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9435F"/>
    <w:multiLevelType w:val="hybridMultilevel"/>
    <w:tmpl w:val="8E8AE7B0"/>
    <w:lvl w:ilvl="0" w:tplc="ABC2CA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51BFA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67BF4F11"/>
    <w:multiLevelType w:val="hybridMultilevel"/>
    <w:tmpl w:val="EF9CE482"/>
    <w:lvl w:ilvl="0" w:tplc="A896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77F73"/>
    <w:multiLevelType w:val="hybridMultilevel"/>
    <w:tmpl w:val="6FD4ABE8"/>
    <w:lvl w:ilvl="0" w:tplc="ABC2CA3C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8"/>
  </w:num>
  <w:num w:numId="5">
    <w:abstractNumId w:val="23"/>
  </w:num>
  <w:num w:numId="6">
    <w:abstractNumId w:val="5"/>
  </w:num>
  <w:num w:numId="7">
    <w:abstractNumId w:val="0"/>
  </w:num>
  <w:num w:numId="8">
    <w:abstractNumId w:val="9"/>
  </w:num>
  <w:num w:numId="9">
    <w:abstractNumId w:val="19"/>
  </w:num>
  <w:num w:numId="10">
    <w:abstractNumId w:val="22"/>
  </w:num>
  <w:num w:numId="11">
    <w:abstractNumId w:val="1"/>
  </w:num>
  <w:num w:numId="12">
    <w:abstractNumId w:val="3"/>
  </w:num>
  <w:num w:numId="13">
    <w:abstractNumId w:val="18"/>
  </w:num>
  <w:num w:numId="14">
    <w:abstractNumId w:val="13"/>
  </w:num>
  <w:num w:numId="15">
    <w:abstractNumId w:val="16"/>
  </w:num>
  <w:num w:numId="16">
    <w:abstractNumId w:val="21"/>
  </w:num>
  <w:num w:numId="17">
    <w:abstractNumId w:val="24"/>
  </w:num>
  <w:num w:numId="18">
    <w:abstractNumId w:val="14"/>
  </w:num>
  <w:num w:numId="19">
    <w:abstractNumId w:val="7"/>
  </w:num>
  <w:num w:numId="20">
    <w:abstractNumId w:val="15"/>
  </w:num>
  <w:num w:numId="21">
    <w:abstractNumId w:val="17"/>
  </w:num>
  <w:num w:numId="22">
    <w:abstractNumId w:val="10"/>
  </w:num>
  <w:num w:numId="23">
    <w:abstractNumId w:val="2"/>
  </w:num>
  <w:num w:numId="24">
    <w:abstractNumId w:val="4"/>
  </w:num>
  <w:num w:numId="2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D7988"/>
    <w:rsid w:val="00003C56"/>
    <w:rsid w:val="000113FA"/>
    <w:rsid w:val="0001718D"/>
    <w:rsid w:val="000235AA"/>
    <w:rsid w:val="00026AA1"/>
    <w:rsid w:val="000337F4"/>
    <w:rsid w:val="0003508E"/>
    <w:rsid w:val="0003577E"/>
    <w:rsid w:val="00037843"/>
    <w:rsid w:val="000428F6"/>
    <w:rsid w:val="00044036"/>
    <w:rsid w:val="00044264"/>
    <w:rsid w:val="0004592C"/>
    <w:rsid w:val="00046D32"/>
    <w:rsid w:val="00046D8B"/>
    <w:rsid w:val="00046E1F"/>
    <w:rsid w:val="00050BC4"/>
    <w:rsid w:val="00050D3C"/>
    <w:rsid w:val="00052452"/>
    <w:rsid w:val="00055689"/>
    <w:rsid w:val="00057151"/>
    <w:rsid w:val="00062AEA"/>
    <w:rsid w:val="00070BE3"/>
    <w:rsid w:val="00070FA4"/>
    <w:rsid w:val="00071A53"/>
    <w:rsid w:val="000739EA"/>
    <w:rsid w:val="0007501E"/>
    <w:rsid w:val="00076E1A"/>
    <w:rsid w:val="00080F76"/>
    <w:rsid w:val="0008157A"/>
    <w:rsid w:val="000819CE"/>
    <w:rsid w:val="00084FBC"/>
    <w:rsid w:val="00085D86"/>
    <w:rsid w:val="000913EF"/>
    <w:rsid w:val="00093591"/>
    <w:rsid w:val="00093637"/>
    <w:rsid w:val="00094C87"/>
    <w:rsid w:val="000A17E9"/>
    <w:rsid w:val="000A39A8"/>
    <w:rsid w:val="000A3DD9"/>
    <w:rsid w:val="000A3E71"/>
    <w:rsid w:val="000A61C2"/>
    <w:rsid w:val="000B0ABF"/>
    <w:rsid w:val="000B13D5"/>
    <w:rsid w:val="000B4ED9"/>
    <w:rsid w:val="000C09BE"/>
    <w:rsid w:val="000C5A4C"/>
    <w:rsid w:val="000D26F4"/>
    <w:rsid w:val="000D6201"/>
    <w:rsid w:val="000D75F8"/>
    <w:rsid w:val="000E0CF8"/>
    <w:rsid w:val="000E58B9"/>
    <w:rsid w:val="000E5BFE"/>
    <w:rsid w:val="000E6D8C"/>
    <w:rsid w:val="000F5E50"/>
    <w:rsid w:val="000F7677"/>
    <w:rsid w:val="0010358A"/>
    <w:rsid w:val="00104751"/>
    <w:rsid w:val="0010513B"/>
    <w:rsid w:val="001117A2"/>
    <w:rsid w:val="001121DA"/>
    <w:rsid w:val="0011497B"/>
    <w:rsid w:val="00116389"/>
    <w:rsid w:val="001175ED"/>
    <w:rsid w:val="00130A6B"/>
    <w:rsid w:val="00131AE8"/>
    <w:rsid w:val="00132AA6"/>
    <w:rsid w:val="00133AD1"/>
    <w:rsid w:val="00137D6E"/>
    <w:rsid w:val="001437FF"/>
    <w:rsid w:val="00144CE9"/>
    <w:rsid w:val="00150C61"/>
    <w:rsid w:val="00160097"/>
    <w:rsid w:val="001619A8"/>
    <w:rsid w:val="001634CA"/>
    <w:rsid w:val="0017097D"/>
    <w:rsid w:val="00170EC6"/>
    <w:rsid w:val="00171ECC"/>
    <w:rsid w:val="00172A15"/>
    <w:rsid w:val="00174743"/>
    <w:rsid w:val="00183731"/>
    <w:rsid w:val="00185315"/>
    <w:rsid w:val="0018554F"/>
    <w:rsid w:val="001908D8"/>
    <w:rsid w:val="0019419E"/>
    <w:rsid w:val="001A0618"/>
    <w:rsid w:val="001A0B79"/>
    <w:rsid w:val="001A1BC7"/>
    <w:rsid w:val="001A3C48"/>
    <w:rsid w:val="001A4868"/>
    <w:rsid w:val="001B25A7"/>
    <w:rsid w:val="001B2D00"/>
    <w:rsid w:val="001B479F"/>
    <w:rsid w:val="001C04F1"/>
    <w:rsid w:val="001C1842"/>
    <w:rsid w:val="001C7124"/>
    <w:rsid w:val="001D2792"/>
    <w:rsid w:val="001D53E7"/>
    <w:rsid w:val="001D63AC"/>
    <w:rsid w:val="001E19B1"/>
    <w:rsid w:val="001E5294"/>
    <w:rsid w:val="001E5ACA"/>
    <w:rsid w:val="001F17FD"/>
    <w:rsid w:val="001F252B"/>
    <w:rsid w:val="001F2AF5"/>
    <w:rsid w:val="001F374A"/>
    <w:rsid w:val="001F3875"/>
    <w:rsid w:val="002001F4"/>
    <w:rsid w:val="002026F4"/>
    <w:rsid w:val="00202F6B"/>
    <w:rsid w:val="002045CE"/>
    <w:rsid w:val="00204734"/>
    <w:rsid w:val="002064B3"/>
    <w:rsid w:val="00211507"/>
    <w:rsid w:val="00211891"/>
    <w:rsid w:val="00211F0B"/>
    <w:rsid w:val="00212EB3"/>
    <w:rsid w:val="00213CCB"/>
    <w:rsid w:val="00216C32"/>
    <w:rsid w:val="00220238"/>
    <w:rsid w:val="00221262"/>
    <w:rsid w:val="00222C77"/>
    <w:rsid w:val="002237CD"/>
    <w:rsid w:val="002245DC"/>
    <w:rsid w:val="00226A03"/>
    <w:rsid w:val="00242990"/>
    <w:rsid w:val="00244C59"/>
    <w:rsid w:val="0024656D"/>
    <w:rsid w:val="00252D43"/>
    <w:rsid w:val="00260D30"/>
    <w:rsid w:val="00263840"/>
    <w:rsid w:val="00267F90"/>
    <w:rsid w:val="0027262B"/>
    <w:rsid w:val="00272F71"/>
    <w:rsid w:val="00281300"/>
    <w:rsid w:val="00281666"/>
    <w:rsid w:val="00281CB8"/>
    <w:rsid w:val="00281CFF"/>
    <w:rsid w:val="002821BD"/>
    <w:rsid w:val="002930A7"/>
    <w:rsid w:val="0029385D"/>
    <w:rsid w:val="0029509B"/>
    <w:rsid w:val="002A1D93"/>
    <w:rsid w:val="002A38B6"/>
    <w:rsid w:val="002A3C61"/>
    <w:rsid w:val="002A57B9"/>
    <w:rsid w:val="002A5CE4"/>
    <w:rsid w:val="002B1904"/>
    <w:rsid w:val="002B1C08"/>
    <w:rsid w:val="002B27AC"/>
    <w:rsid w:val="002C19A2"/>
    <w:rsid w:val="002C1D61"/>
    <w:rsid w:val="002C47AE"/>
    <w:rsid w:val="002C5579"/>
    <w:rsid w:val="002D2DD0"/>
    <w:rsid w:val="002D34DD"/>
    <w:rsid w:val="002D6C5C"/>
    <w:rsid w:val="002D7036"/>
    <w:rsid w:val="002D711F"/>
    <w:rsid w:val="002D7503"/>
    <w:rsid w:val="002D78A7"/>
    <w:rsid w:val="002E2CBB"/>
    <w:rsid w:val="002E306A"/>
    <w:rsid w:val="002E5880"/>
    <w:rsid w:val="002E5ECD"/>
    <w:rsid w:val="002F2022"/>
    <w:rsid w:val="002F358D"/>
    <w:rsid w:val="002F5E48"/>
    <w:rsid w:val="002F6350"/>
    <w:rsid w:val="002F6801"/>
    <w:rsid w:val="002F703D"/>
    <w:rsid w:val="0030004C"/>
    <w:rsid w:val="003010DE"/>
    <w:rsid w:val="0030384A"/>
    <w:rsid w:val="0030503D"/>
    <w:rsid w:val="00313262"/>
    <w:rsid w:val="00315361"/>
    <w:rsid w:val="00321B50"/>
    <w:rsid w:val="00321E8B"/>
    <w:rsid w:val="00324846"/>
    <w:rsid w:val="00327E7E"/>
    <w:rsid w:val="00335441"/>
    <w:rsid w:val="00340032"/>
    <w:rsid w:val="00340609"/>
    <w:rsid w:val="0034114C"/>
    <w:rsid w:val="00341EF5"/>
    <w:rsid w:val="0035185D"/>
    <w:rsid w:val="00355064"/>
    <w:rsid w:val="0035731E"/>
    <w:rsid w:val="003574D5"/>
    <w:rsid w:val="00357F55"/>
    <w:rsid w:val="00361DCA"/>
    <w:rsid w:val="00366A19"/>
    <w:rsid w:val="0037089F"/>
    <w:rsid w:val="00370C8E"/>
    <w:rsid w:val="00370DEC"/>
    <w:rsid w:val="00371A2B"/>
    <w:rsid w:val="00373987"/>
    <w:rsid w:val="00373F8C"/>
    <w:rsid w:val="00374BA4"/>
    <w:rsid w:val="00375466"/>
    <w:rsid w:val="00383210"/>
    <w:rsid w:val="00392241"/>
    <w:rsid w:val="00392D31"/>
    <w:rsid w:val="003953C4"/>
    <w:rsid w:val="00395D00"/>
    <w:rsid w:val="003A2C27"/>
    <w:rsid w:val="003A3A49"/>
    <w:rsid w:val="003A4CCF"/>
    <w:rsid w:val="003B01A6"/>
    <w:rsid w:val="003B22FE"/>
    <w:rsid w:val="003B266F"/>
    <w:rsid w:val="003B5011"/>
    <w:rsid w:val="003B60BF"/>
    <w:rsid w:val="003B637B"/>
    <w:rsid w:val="003B70C8"/>
    <w:rsid w:val="003C0AD3"/>
    <w:rsid w:val="003C2199"/>
    <w:rsid w:val="003C4E19"/>
    <w:rsid w:val="003C520F"/>
    <w:rsid w:val="003C548A"/>
    <w:rsid w:val="003C69B1"/>
    <w:rsid w:val="003D0334"/>
    <w:rsid w:val="003D1444"/>
    <w:rsid w:val="003D2017"/>
    <w:rsid w:val="003D6D37"/>
    <w:rsid w:val="003E0088"/>
    <w:rsid w:val="003E1FA6"/>
    <w:rsid w:val="003E2C58"/>
    <w:rsid w:val="003E2FF1"/>
    <w:rsid w:val="003E4704"/>
    <w:rsid w:val="003E6569"/>
    <w:rsid w:val="003E6E9B"/>
    <w:rsid w:val="003F1988"/>
    <w:rsid w:val="003F209B"/>
    <w:rsid w:val="003F31FA"/>
    <w:rsid w:val="003F6605"/>
    <w:rsid w:val="004011C8"/>
    <w:rsid w:val="0040142B"/>
    <w:rsid w:val="00403D4A"/>
    <w:rsid w:val="00406A04"/>
    <w:rsid w:val="004122C3"/>
    <w:rsid w:val="0041286F"/>
    <w:rsid w:val="00417C8C"/>
    <w:rsid w:val="00417E03"/>
    <w:rsid w:val="00421CC7"/>
    <w:rsid w:val="004242F3"/>
    <w:rsid w:val="00425A07"/>
    <w:rsid w:val="00425A55"/>
    <w:rsid w:val="00426279"/>
    <w:rsid w:val="004305E3"/>
    <w:rsid w:val="004321E5"/>
    <w:rsid w:val="004336C0"/>
    <w:rsid w:val="0043667D"/>
    <w:rsid w:val="004429DB"/>
    <w:rsid w:val="004514A5"/>
    <w:rsid w:val="004544A2"/>
    <w:rsid w:val="004559D1"/>
    <w:rsid w:val="00455D4A"/>
    <w:rsid w:val="00457EA1"/>
    <w:rsid w:val="0046013A"/>
    <w:rsid w:val="00461018"/>
    <w:rsid w:val="00464672"/>
    <w:rsid w:val="00464F23"/>
    <w:rsid w:val="00466396"/>
    <w:rsid w:val="00466F1F"/>
    <w:rsid w:val="004671B3"/>
    <w:rsid w:val="00467DD0"/>
    <w:rsid w:val="004812AD"/>
    <w:rsid w:val="00481A53"/>
    <w:rsid w:val="00484FE2"/>
    <w:rsid w:val="00485C16"/>
    <w:rsid w:val="00491792"/>
    <w:rsid w:val="00494AB5"/>
    <w:rsid w:val="0049571C"/>
    <w:rsid w:val="004A0D32"/>
    <w:rsid w:val="004A11E1"/>
    <w:rsid w:val="004A1859"/>
    <w:rsid w:val="004A18E0"/>
    <w:rsid w:val="004A6970"/>
    <w:rsid w:val="004B1082"/>
    <w:rsid w:val="004B1BC0"/>
    <w:rsid w:val="004B1F6D"/>
    <w:rsid w:val="004B2FCA"/>
    <w:rsid w:val="004B357C"/>
    <w:rsid w:val="004B3B06"/>
    <w:rsid w:val="004B7D0D"/>
    <w:rsid w:val="004C2008"/>
    <w:rsid w:val="004C5B62"/>
    <w:rsid w:val="004D2DB4"/>
    <w:rsid w:val="004D5172"/>
    <w:rsid w:val="004E175F"/>
    <w:rsid w:val="004E42F8"/>
    <w:rsid w:val="004E6DE6"/>
    <w:rsid w:val="004E7480"/>
    <w:rsid w:val="004F136D"/>
    <w:rsid w:val="004F2C68"/>
    <w:rsid w:val="004F6B7A"/>
    <w:rsid w:val="00501D03"/>
    <w:rsid w:val="00502942"/>
    <w:rsid w:val="00502A69"/>
    <w:rsid w:val="00502B72"/>
    <w:rsid w:val="00505938"/>
    <w:rsid w:val="00506C09"/>
    <w:rsid w:val="00506E5F"/>
    <w:rsid w:val="00506FBF"/>
    <w:rsid w:val="00510646"/>
    <w:rsid w:val="00510948"/>
    <w:rsid w:val="00513473"/>
    <w:rsid w:val="005153C0"/>
    <w:rsid w:val="00516372"/>
    <w:rsid w:val="0052456A"/>
    <w:rsid w:val="00525D23"/>
    <w:rsid w:val="00526929"/>
    <w:rsid w:val="00526B67"/>
    <w:rsid w:val="00533460"/>
    <w:rsid w:val="00533B0F"/>
    <w:rsid w:val="0053611A"/>
    <w:rsid w:val="0053646D"/>
    <w:rsid w:val="005372AA"/>
    <w:rsid w:val="00541ED8"/>
    <w:rsid w:val="005453C2"/>
    <w:rsid w:val="00547FEE"/>
    <w:rsid w:val="005502D4"/>
    <w:rsid w:val="00550D7F"/>
    <w:rsid w:val="0055649E"/>
    <w:rsid w:val="00560DCC"/>
    <w:rsid w:val="0056693D"/>
    <w:rsid w:val="00566BC9"/>
    <w:rsid w:val="00570927"/>
    <w:rsid w:val="00575863"/>
    <w:rsid w:val="00590884"/>
    <w:rsid w:val="00590EDA"/>
    <w:rsid w:val="00597E97"/>
    <w:rsid w:val="005A354B"/>
    <w:rsid w:val="005A5414"/>
    <w:rsid w:val="005B102F"/>
    <w:rsid w:val="005B135C"/>
    <w:rsid w:val="005B5567"/>
    <w:rsid w:val="005B60CD"/>
    <w:rsid w:val="005C0A10"/>
    <w:rsid w:val="005C0F97"/>
    <w:rsid w:val="005C302D"/>
    <w:rsid w:val="005C30B7"/>
    <w:rsid w:val="005C3747"/>
    <w:rsid w:val="005C4F85"/>
    <w:rsid w:val="005C5D2A"/>
    <w:rsid w:val="005D7D43"/>
    <w:rsid w:val="005E32A3"/>
    <w:rsid w:val="005E3386"/>
    <w:rsid w:val="005E6CF3"/>
    <w:rsid w:val="005F1093"/>
    <w:rsid w:val="005F346D"/>
    <w:rsid w:val="005F3B29"/>
    <w:rsid w:val="005F3FDC"/>
    <w:rsid w:val="005F4BD8"/>
    <w:rsid w:val="00601B92"/>
    <w:rsid w:val="00602E1E"/>
    <w:rsid w:val="006043EC"/>
    <w:rsid w:val="0060475E"/>
    <w:rsid w:val="00604C97"/>
    <w:rsid w:val="0060742A"/>
    <w:rsid w:val="00611267"/>
    <w:rsid w:val="0061702A"/>
    <w:rsid w:val="0062042C"/>
    <w:rsid w:val="00620698"/>
    <w:rsid w:val="00620C90"/>
    <w:rsid w:val="006247AF"/>
    <w:rsid w:val="00624AD1"/>
    <w:rsid w:val="00627BDA"/>
    <w:rsid w:val="00631AA1"/>
    <w:rsid w:val="00631D96"/>
    <w:rsid w:val="00634718"/>
    <w:rsid w:val="00635948"/>
    <w:rsid w:val="00635D53"/>
    <w:rsid w:val="00642588"/>
    <w:rsid w:val="00647314"/>
    <w:rsid w:val="006505AB"/>
    <w:rsid w:val="00653F99"/>
    <w:rsid w:val="00657D53"/>
    <w:rsid w:val="006622CF"/>
    <w:rsid w:val="00663EA3"/>
    <w:rsid w:val="00665DE3"/>
    <w:rsid w:val="006673E5"/>
    <w:rsid w:val="0067053B"/>
    <w:rsid w:val="00670A96"/>
    <w:rsid w:val="00672C93"/>
    <w:rsid w:val="006760B4"/>
    <w:rsid w:val="006762E5"/>
    <w:rsid w:val="006808B8"/>
    <w:rsid w:val="006833D6"/>
    <w:rsid w:val="00683E73"/>
    <w:rsid w:val="00685277"/>
    <w:rsid w:val="00686E2E"/>
    <w:rsid w:val="00690C3F"/>
    <w:rsid w:val="0069490B"/>
    <w:rsid w:val="006A078F"/>
    <w:rsid w:val="006A1ACC"/>
    <w:rsid w:val="006A353A"/>
    <w:rsid w:val="006A4718"/>
    <w:rsid w:val="006A4C6F"/>
    <w:rsid w:val="006A681A"/>
    <w:rsid w:val="006B0D53"/>
    <w:rsid w:val="006B3B53"/>
    <w:rsid w:val="006B4C5A"/>
    <w:rsid w:val="006B5464"/>
    <w:rsid w:val="006B5CA5"/>
    <w:rsid w:val="006C0B26"/>
    <w:rsid w:val="006C43E3"/>
    <w:rsid w:val="006C52BF"/>
    <w:rsid w:val="006C7EA4"/>
    <w:rsid w:val="006D1CA9"/>
    <w:rsid w:val="006D1F9B"/>
    <w:rsid w:val="006D49F5"/>
    <w:rsid w:val="006D5AAB"/>
    <w:rsid w:val="006D7BCE"/>
    <w:rsid w:val="006E291F"/>
    <w:rsid w:val="006F0BBC"/>
    <w:rsid w:val="006F0E2E"/>
    <w:rsid w:val="006F13B4"/>
    <w:rsid w:val="006F199D"/>
    <w:rsid w:val="006F1D28"/>
    <w:rsid w:val="006F29E4"/>
    <w:rsid w:val="006F535B"/>
    <w:rsid w:val="006F5567"/>
    <w:rsid w:val="006F5849"/>
    <w:rsid w:val="00700C6E"/>
    <w:rsid w:val="00702A78"/>
    <w:rsid w:val="00705859"/>
    <w:rsid w:val="00707335"/>
    <w:rsid w:val="007204C2"/>
    <w:rsid w:val="00720832"/>
    <w:rsid w:val="0072130D"/>
    <w:rsid w:val="00727AA6"/>
    <w:rsid w:val="00727F0C"/>
    <w:rsid w:val="00730E08"/>
    <w:rsid w:val="0073375F"/>
    <w:rsid w:val="00733DF7"/>
    <w:rsid w:val="00736686"/>
    <w:rsid w:val="007367B2"/>
    <w:rsid w:val="00737625"/>
    <w:rsid w:val="0074022D"/>
    <w:rsid w:val="0074587B"/>
    <w:rsid w:val="007510A9"/>
    <w:rsid w:val="00751EBF"/>
    <w:rsid w:val="00752B66"/>
    <w:rsid w:val="00753969"/>
    <w:rsid w:val="0076004B"/>
    <w:rsid w:val="00764CC6"/>
    <w:rsid w:val="007661BF"/>
    <w:rsid w:val="0076621F"/>
    <w:rsid w:val="007701F9"/>
    <w:rsid w:val="00770BDA"/>
    <w:rsid w:val="00772710"/>
    <w:rsid w:val="00773B7A"/>
    <w:rsid w:val="00774DC9"/>
    <w:rsid w:val="00775624"/>
    <w:rsid w:val="0078132E"/>
    <w:rsid w:val="00784B68"/>
    <w:rsid w:val="00786B5C"/>
    <w:rsid w:val="00792A55"/>
    <w:rsid w:val="00794C8F"/>
    <w:rsid w:val="00795687"/>
    <w:rsid w:val="00795ED5"/>
    <w:rsid w:val="007A0AD6"/>
    <w:rsid w:val="007A112A"/>
    <w:rsid w:val="007A6E02"/>
    <w:rsid w:val="007B2566"/>
    <w:rsid w:val="007B374E"/>
    <w:rsid w:val="007B4A1D"/>
    <w:rsid w:val="007C023D"/>
    <w:rsid w:val="007C1058"/>
    <w:rsid w:val="007C6F4F"/>
    <w:rsid w:val="007D5351"/>
    <w:rsid w:val="007E2250"/>
    <w:rsid w:val="007E37D1"/>
    <w:rsid w:val="007E5BCB"/>
    <w:rsid w:val="007F3B2A"/>
    <w:rsid w:val="00800D28"/>
    <w:rsid w:val="00810891"/>
    <w:rsid w:val="0081173E"/>
    <w:rsid w:val="0081218F"/>
    <w:rsid w:val="00812FA2"/>
    <w:rsid w:val="00815DBC"/>
    <w:rsid w:val="008170B8"/>
    <w:rsid w:val="00820596"/>
    <w:rsid w:val="0082654C"/>
    <w:rsid w:val="008309F9"/>
    <w:rsid w:val="00831395"/>
    <w:rsid w:val="008314EF"/>
    <w:rsid w:val="0083478E"/>
    <w:rsid w:val="00840D19"/>
    <w:rsid w:val="0084397F"/>
    <w:rsid w:val="00845714"/>
    <w:rsid w:val="00845DA4"/>
    <w:rsid w:val="0084612E"/>
    <w:rsid w:val="008474F1"/>
    <w:rsid w:val="008475AC"/>
    <w:rsid w:val="00851B22"/>
    <w:rsid w:val="00852EAD"/>
    <w:rsid w:val="00853312"/>
    <w:rsid w:val="00856288"/>
    <w:rsid w:val="008636CA"/>
    <w:rsid w:val="00863F6D"/>
    <w:rsid w:val="0086418C"/>
    <w:rsid w:val="008643FA"/>
    <w:rsid w:val="00865FBD"/>
    <w:rsid w:val="00871887"/>
    <w:rsid w:val="00872118"/>
    <w:rsid w:val="00872900"/>
    <w:rsid w:val="00873783"/>
    <w:rsid w:val="00874F0E"/>
    <w:rsid w:val="008901DA"/>
    <w:rsid w:val="00890EDB"/>
    <w:rsid w:val="0089333A"/>
    <w:rsid w:val="00894277"/>
    <w:rsid w:val="008A018B"/>
    <w:rsid w:val="008A444E"/>
    <w:rsid w:val="008A4E49"/>
    <w:rsid w:val="008A5A8A"/>
    <w:rsid w:val="008A666C"/>
    <w:rsid w:val="008A7581"/>
    <w:rsid w:val="008B0E5D"/>
    <w:rsid w:val="008B3297"/>
    <w:rsid w:val="008B696D"/>
    <w:rsid w:val="008C5055"/>
    <w:rsid w:val="008D1B32"/>
    <w:rsid w:val="008D2EA0"/>
    <w:rsid w:val="008D3A90"/>
    <w:rsid w:val="008D5D6F"/>
    <w:rsid w:val="008E29B3"/>
    <w:rsid w:val="008E3930"/>
    <w:rsid w:val="008E592C"/>
    <w:rsid w:val="008E5E9B"/>
    <w:rsid w:val="008F6575"/>
    <w:rsid w:val="008F658D"/>
    <w:rsid w:val="00901F1F"/>
    <w:rsid w:val="009119A9"/>
    <w:rsid w:val="00913808"/>
    <w:rsid w:val="00913B69"/>
    <w:rsid w:val="00914066"/>
    <w:rsid w:val="00914632"/>
    <w:rsid w:val="009153C2"/>
    <w:rsid w:val="0091670F"/>
    <w:rsid w:val="009178BB"/>
    <w:rsid w:val="00920082"/>
    <w:rsid w:val="00921606"/>
    <w:rsid w:val="009221B5"/>
    <w:rsid w:val="00930959"/>
    <w:rsid w:val="009329CB"/>
    <w:rsid w:val="00934055"/>
    <w:rsid w:val="00934CC2"/>
    <w:rsid w:val="009357EE"/>
    <w:rsid w:val="00944132"/>
    <w:rsid w:val="0094449C"/>
    <w:rsid w:val="00944CFC"/>
    <w:rsid w:val="00951678"/>
    <w:rsid w:val="0095174D"/>
    <w:rsid w:val="00951CC5"/>
    <w:rsid w:val="00953340"/>
    <w:rsid w:val="00955E99"/>
    <w:rsid w:val="00957443"/>
    <w:rsid w:val="00957931"/>
    <w:rsid w:val="00957DE1"/>
    <w:rsid w:val="0096258F"/>
    <w:rsid w:val="00964155"/>
    <w:rsid w:val="0096450B"/>
    <w:rsid w:val="00965063"/>
    <w:rsid w:val="00965EE9"/>
    <w:rsid w:val="009753D0"/>
    <w:rsid w:val="00975C0D"/>
    <w:rsid w:val="00980389"/>
    <w:rsid w:val="00980EE2"/>
    <w:rsid w:val="0098171D"/>
    <w:rsid w:val="0098363A"/>
    <w:rsid w:val="009907AC"/>
    <w:rsid w:val="009914E4"/>
    <w:rsid w:val="009953D5"/>
    <w:rsid w:val="00995E4D"/>
    <w:rsid w:val="00995FD8"/>
    <w:rsid w:val="009A0AB8"/>
    <w:rsid w:val="009A1AEF"/>
    <w:rsid w:val="009A39F3"/>
    <w:rsid w:val="009B01B6"/>
    <w:rsid w:val="009B1036"/>
    <w:rsid w:val="009B142F"/>
    <w:rsid w:val="009B208F"/>
    <w:rsid w:val="009B6E79"/>
    <w:rsid w:val="009C3697"/>
    <w:rsid w:val="009C7161"/>
    <w:rsid w:val="009C7BEC"/>
    <w:rsid w:val="009D0CC7"/>
    <w:rsid w:val="009D4572"/>
    <w:rsid w:val="009D62DD"/>
    <w:rsid w:val="009D71B5"/>
    <w:rsid w:val="009E0966"/>
    <w:rsid w:val="009E2E8F"/>
    <w:rsid w:val="009E7D2E"/>
    <w:rsid w:val="009F3966"/>
    <w:rsid w:val="009F3D3A"/>
    <w:rsid w:val="009F4A72"/>
    <w:rsid w:val="009F56A3"/>
    <w:rsid w:val="009F71C1"/>
    <w:rsid w:val="009F7720"/>
    <w:rsid w:val="00A042B7"/>
    <w:rsid w:val="00A05580"/>
    <w:rsid w:val="00A05634"/>
    <w:rsid w:val="00A06285"/>
    <w:rsid w:val="00A07E5B"/>
    <w:rsid w:val="00A101DA"/>
    <w:rsid w:val="00A12636"/>
    <w:rsid w:val="00A131DC"/>
    <w:rsid w:val="00A142D5"/>
    <w:rsid w:val="00A14772"/>
    <w:rsid w:val="00A156F9"/>
    <w:rsid w:val="00A158A3"/>
    <w:rsid w:val="00A15A10"/>
    <w:rsid w:val="00A17D43"/>
    <w:rsid w:val="00A22733"/>
    <w:rsid w:val="00A22C2F"/>
    <w:rsid w:val="00A27553"/>
    <w:rsid w:val="00A27CCD"/>
    <w:rsid w:val="00A3066E"/>
    <w:rsid w:val="00A31E6B"/>
    <w:rsid w:val="00A32812"/>
    <w:rsid w:val="00A33FA5"/>
    <w:rsid w:val="00A34505"/>
    <w:rsid w:val="00A35B03"/>
    <w:rsid w:val="00A3655A"/>
    <w:rsid w:val="00A36F93"/>
    <w:rsid w:val="00A4096E"/>
    <w:rsid w:val="00A40FD9"/>
    <w:rsid w:val="00A41412"/>
    <w:rsid w:val="00A423CA"/>
    <w:rsid w:val="00A4468E"/>
    <w:rsid w:val="00A45349"/>
    <w:rsid w:val="00A45367"/>
    <w:rsid w:val="00A45558"/>
    <w:rsid w:val="00A4560A"/>
    <w:rsid w:val="00A5224F"/>
    <w:rsid w:val="00A53407"/>
    <w:rsid w:val="00A53B7C"/>
    <w:rsid w:val="00A542F7"/>
    <w:rsid w:val="00A54729"/>
    <w:rsid w:val="00A54CE5"/>
    <w:rsid w:val="00A5548F"/>
    <w:rsid w:val="00A56C01"/>
    <w:rsid w:val="00A60E67"/>
    <w:rsid w:val="00A67F71"/>
    <w:rsid w:val="00A73369"/>
    <w:rsid w:val="00A763B4"/>
    <w:rsid w:val="00A76CB1"/>
    <w:rsid w:val="00A76FE5"/>
    <w:rsid w:val="00A7758F"/>
    <w:rsid w:val="00A8067E"/>
    <w:rsid w:val="00A80B12"/>
    <w:rsid w:val="00A829A4"/>
    <w:rsid w:val="00A84722"/>
    <w:rsid w:val="00A900BA"/>
    <w:rsid w:val="00A905D0"/>
    <w:rsid w:val="00A93EEB"/>
    <w:rsid w:val="00A957FB"/>
    <w:rsid w:val="00A95AA2"/>
    <w:rsid w:val="00A965D9"/>
    <w:rsid w:val="00AA33C9"/>
    <w:rsid w:val="00AA4927"/>
    <w:rsid w:val="00AB10B3"/>
    <w:rsid w:val="00AB635B"/>
    <w:rsid w:val="00AC277F"/>
    <w:rsid w:val="00AE0783"/>
    <w:rsid w:val="00AE07F8"/>
    <w:rsid w:val="00AE41C0"/>
    <w:rsid w:val="00AF048A"/>
    <w:rsid w:val="00AF0DFC"/>
    <w:rsid w:val="00AF58ED"/>
    <w:rsid w:val="00AF5AB8"/>
    <w:rsid w:val="00AF79CB"/>
    <w:rsid w:val="00B0194F"/>
    <w:rsid w:val="00B0551A"/>
    <w:rsid w:val="00B062B7"/>
    <w:rsid w:val="00B06642"/>
    <w:rsid w:val="00B07C61"/>
    <w:rsid w:val="00B128B3"/>
    <w:rsid w:val="00B12B73"/>
    <w:rsid w:val="00B14932"/>
    <w:rsid w:val="00B173D2"/>
    <w:rsid w:val="00B21091"/>
    <w:rsid w:val="00B216AC"/>
    <w:rsid w:val="00B2193A"/>
    <w:rsid w:val="00B27A33"/>
    <w:rsid w:val="00B302F0"/>
    <w:rsid w:val="00B30F29"/>
    <w:rsid w:val="00B31659"/>
    <w:rsid w:val="00B342F0"/>
    <w:rsid w:val="00B3618B"/>
    <w:rsid w:val="00B42C58"/>
    <w:rsid w:val="00B46076"/>
    <w:rsid w:val="00B47669"/>
    <w:rsid w:val="00B531AA"/>
    <w:rsid w:val="00B54552"/>
    <w:rsid w:val="00B5505E"/>
    <w:rsid w:val="00B5735E"/>
    <w:rsid w:val="00B6443F"/>
    <w:rsid w:val="00B66FF5"/>
    <w:rsid w:val="00B70DA0"/>
    <w:rsid w:val="00B7122A"/>
    <w:rsid w:val="00B723C3"/>
    <w:rsid w:val="00B73A61"/>
    <w:rsid w:val="00B8044B"/>
    <w:rsid w:val="00B80793"/>
    <w:rsid w:val="00B80AF0"/>
    <w:rsid w:val="00B81FC0"/>
    <w:rsid w:val="00B82809"/>
    <w:rsid w:val="00B8323F"/>
    <w:rsid w:val="00B8369D"/>
    <w:rsid w:val="00B84529"/>
    <w:rsid w:val="00B84EBC"/>
    <w:rsid w:val="00B85C9A"/>
    <w:rsid w:val="00B91464"/>
    <w:rsid w:val="00B93D2A"/>
    <w:rsid w:val="00B951F3"/>
    <w:rsid w:val="00BA236C"/>
    <w:rsid w:val="00BA399C"/>
    <w:rsid w:val="00BB01CC"/>
    <w:rsid w:val="00BB0C70"/>
    <w:rsid w:val="00BB1870"/>
    <w:rsid w:val="00BB446D"/>
    <w:rsid w:val="00BB70DC"/>
    <w:rsid w:val="00BC20E3"/>
    <w:rsid w:val="00BC2DA3"/>
    <w:rsid w:val="00BC4C1C"/>
    <w:rsid w:val="00BC6078"/>
    <w:rsid w:val="00BC735B"/>
    <w:rsid w:val="00BD087E"/>
    <w:rsid w:val="00BD6339"/>
    <w:rsid w:val="00BD7988"/>
    <w:rsid w:val="00BE1902"/>
    <w:rsid w:val="00BE357F"/>
    <w:rsid w:val="00BE755C"/>
    <w:rsid w:val="00BE782A"/>
    <w:rsid w:val="00BF24B4"/>
    <w:rsid w:val="00BF6BBD"/>
    <w:rsid w:val="00BF6F1F"/>
    <w:rsid w:val="00C028DD"/>
    <w:rsid w:val="00C02DF8"/>
    <w:rsid w:val="00C11388"/>
    <w:rsid w:val="00C141EE"/>
    <w:rsid w:val="00C14216"/>
    <w:rsid w:val="00C21CEB"/>
    <w:rsid w:val="00C2372E"/>
    <w:rsid w:val="00C26ED0"/>
    <w:rsid w:val="00C2729B"/>
    <w:rsid w:val="00C27EEF"/>
    <w:rsid w:val="00C3148C"/>
    <w:rsid w:val="00C36FCF"/>
    <w:rsid w:val="00C3705D"/>
    <w:rsid w:val="00C374BA"/>
    <w:rsid w:val="00C41158"/>
    <w:rsid w:val="00C46241"/>
    <w:rsid w:val="00C46252"/>
    <w:rsid w:val="00C50580"/>
    <w:rsid w:val="00C57EC9"/>
    <w:rsid w:val="00C638C3"/>
    <w:rsid w:val="00C64A5A"/>
    <w:rsid w:val="00C66D90"/>
    <w:rsid w:val="00C715D6"/>
    <w:rsid w:val="00C742E1"/>
    <w:rsid w:val="00C75890"/>
    <w:rsid w:val="00C77E37"/>
    <w:rsid w:val="00C841C1"/>
    <w:rsid w:val="00C85156"/>
    <w:rsid w:val="00C85964"/>
    <w:rsid w:val="00C86869"/>
    <w:rsid w:val="00C91269"/>
    <w:rsid w:val="00C944BF"/>
    <w:rsid w:val="00C95DC2"/>
    <w:rsid w:val="00C96422"/>
    <w:rsid w:val="00C9714A"/>
    <w:rsid w:val="00CA0B9D"/>
    <w:rsid w:val="00CA0BC5"/>
    <w:rsid w:val="00CA1914"/>
    <w:rsid w:val="00CA247B"/>
    <w:rsid w:val="00CA3BDD"/>
    <w:rsid w:val="00CA524D"/>
    <w:rsid w:val="00CB0C08"/>
    <w:rsid w:val="00CB1611"/>
    <w:rsid w:val="00CB1629"/>
    <w:rsid w:val="00CB18B4"/>
    <w:rsid w:val="00CB52D1"/>
    <w:rsid w:val="00CB5FDB"/>
    <w:rsid w:val="00CB65AC"/>
    <w:rsid w:val="00CB66F3"/>
    <w:rsid w:val="00CB76EF"/>
    <w:rsid w:val="00CC2285"/>
    <w:rsid w:val="00CD1CE0"/>
    <w:rsid w:val="00CD2CCB"/>
    <w:rsid w:val="00CD36CD"/>
    <w:rsid w:val="00CD4AE2"/>
    <w:rsid w:val="00CE1879"/>
    <w:rsid w:val="00CE2BF4"/>
    <w:rsid w:val="00CE4F02"/>
    <w:rsid w:val="00CE621C"/>
    <w:rsid w:val="00CF0A22"/>
    <w:rsid w:val="00CF3C17"/>
    <w:rsid w:val="00D0028E"/>
    <w:rsid w:val="00D0226C"/>
    <w:rsid w:val="00D022F7"/>
    <w:rsid w:val="00D02C9E"/>
    <w:rsid w:val="00D03AED"/>
    <w:rsid w:val="00D03C12"/>
    <w:rsid w:val="00D04806"/>
    <w:rsid w:val="00D04B2D"/>
    <w:rsid w:val="00D06DD9"/>
    <w:rsid w:val="00D0710F"/>
    <w:rsid w:val="00D1137B"/>
    <w:rsid w:val="00D11F0A"/>
    <w:rsid w:val="00D14B31"/>
    <w:rsid w:val="00D16341"/>
    <w:rsid w:val="00D174F0"/>
    <w:rsid w:val="00D20D26"/>
    <w:rsid w:val="00D238FA"/>
    <w:rsid w:val="00D26A46"/>
    <w:rsid w:val="00D278ED"/>
    <w:rsid w:val="00D27B30"/>
    <w:rsid w:val="00D35729"/>
    <w:rsid w:val="00D3723D"/>
    <w:rsid w:val="00D41B62"/>
    <w:rsid w:val="00D41BCB"/>
    <w:rsid w:val="00D41DC9"/>
    <w:rsid w:val="00D41E2A"/>
    <w:rsid w:val="00D44ABC"/>
    <w:rsid w:val="00D46CC6"/>
    <w:rsid w:val="00D52A9D"/>
    <w:rsid w:val="00D60026"/>
    <w:rsid w:val="00D620F6"/>
    <w:rsid w:val="00D62D7E"/>
    <w:rsid w:val="00D70AB5"/>
    <w:rsid w:val="00D71055"/>
    <w:rsid w:val="00D7305F"/>
    <w:rsid w:val="00D763B3"/>
    <w:rsid w:val="00D775B1"/>
    <w:rsid w:val="00D81D9B"/>
    <w:rsid w:val="00D82892"/>
    <w:rsid w:val="00D831FC"/>
    <w:rsid w:val="00D87648"/>
    <w:rsid w:val="00D91C00"/>
    <w:rsid w:val="00D9265B"/>
    <w:rsid w:val="00D93AA4"/>
    <w:rsid w:val="00D9616A"/>
    <w:rsid w:val="00DA151C"/>
    <w:rsid w:val="00DA3092"/>
    <w:rsid w:val="00DA3758"/>
    <w:rsid w:val="00DA409D"/>
    <w:rsid w:val="00DA5E1E"/>
    <w:rsid w:val="00DB0D2D"/>
    <w:rsid w:val="00DB0FC9"/>
    <w:rsid w:val="00DB15B2"/>
    <w:rsid w:val="00DB3EA7"/>
    <w:rsid w:val="00DB43B4"/>
    <w:rsid w:val="00DB482C"/>
    <w:rsid w:val="00DB4DBA"/>
    <w:rsid w:val="00DB747E"/>
    <w:rsid w:val="00DB795C"/>
    <w:rsid w:val="00DC0F14"/>
    <w:rsid w:val="00DC370B"/>
    <w:rsid w:val="00DC6AC9"/>
    <w:rsid w:val="00DC7325"/>
    <w:rsid w:val="00DD1BBC"/>
    <w:rsid w:val="00DD2324"/>
    <w:rsid w:val="00DD4006"/>
    <w:rsid w:val="00DE49C9"/>
    <w:rsid w:val="00DF1B69"/>
    <w:rsid w:val="00DF419F"/>
    <w:rsid w:val="00DF6942"/>
    <w:rsid w:val="00DF70D5"/>
    <w:rsid w:val="00E008EF"/>
    <w:rsid w:val="00E00E41"/>
    <w:rsid w:val="00E10AAF"/>
    <w:rsid w:val="00E11962"/>
    <w:rsid w:val="00E12E8F"/>
    <w:rsid w:val="00E14E5D"/>
    <w:rsid w:val="00E1661E"/>
    <w:rsid w:val="00E1755C"/>
    <w:rsid w:val="00E176AE"/>
    <w:rsid w:val="00E22D10"/>
    <w:rsid w:val="00E27066"/>
    <w:rsid w:val="00E31A51"/>
    <w:rsid w:val="00E364CA"/>
    <w:rsid w:val="00E37ED6"/>
    <w:rsid w:val="00E4093A"/>
    <w:rsid w:val="00E4180F"/>
    <w:rsid w:val="00E44634"/>
    <w:rsid w:val="00E44D68"/>
    <w:rsid w:val="00E5033F"/>
    <w:rsid w:val="00E504AA"/>
    <w:rsid w:val="00E52A59"/>
    <w:rsid w:val="00E551A6"/>
    <w:rsid w:val="00E56350"/>
    <w:rsid w:val="00E60AC5"/>
    <w:rsid w:val="00E60D66"/>
    <w:rsid w:val="00E60DBD"/>
    <w:rsid w:val="00E6280E"/>
    <w:rsid w:val="00E65E6C"/>
    <w:rsid w:val="00E67D6E"/>
    <w:rsid w:val="00E71187"/>
    <w:rsid w:val="00E76BE8"/>
    <w:rsid w:val="00E77611"/>
    <w:rsid w:val="00E80388"/>
    <w:rsid w:val="00E80E31"/>
    <w:rsid w:val="00E832BA"/>
    <w:rsid w:val="00E85CCC"/>
    <w:rsid w:val="00E92125"/>
    <w:rsid w:val="00E9475C"/>
    <w:rsid w:val="00E957E4"/>
    <w:rsid w:val="00E96D1E"/>
    <w:rsid w:val="00EA2B5E"/>
    <w:rsid w:val="00EA393D"/>
    <w:rsid w:val="00EA445E"/>
    <w:rsid w:val="00EA4788"/>
    <w:rsid w:val="00EA507A"/>
    <w:rsid w:val="00EB352D"/>
    <w:rsid w:val="00EB5523"/>
    <w:rsid w:val="00EC01DE"/>
    <w:rsid w:val="00EC26EE"/>
    <w:rsid w:val="00EC33E9"/>
    <w:rsid w:val="00EC50BE"/>
    <w:rsid w:val="00ED0FFB"/>
    <w:rsid w:val="00ED171F"/>
    <w:rsid w:val="00ED3C0D"/>
    <w:rsid w:val="00ED3D90"/>
    <w:rsid w:val="00ED4344"/>
    <w:rsid w:val="00ED4EE5"/>
    <w:rsid w:val="00ED5373"/>
    <w:rsid w:val="00ED6CE0"/>
    <w:rsid w:val="00ED7868"/>
    <w:rsid w:val="00EE0B47"/>
    <w:rsid w:val="00EF11C1"/>
    <w:rsid w:val="00EF17FF"/>
    <w:rsid w:val="00EF4A16"/>
    <w:rsid w:val="00EF4F87"/>
    <w:rsid w:val="00EF700F"/>
    <w:rsid w:val="00F00320"/>
    <w:rsid w:val="00F01BC1"/>
    <w:rsid w:val="00F0218B"/>
    <w:rsid w:val="00F041BA"/>
    <w:rsid w:val="00F0538B"/>
    <w:rsid w:val="00F07557"/>
    <w:rsid w:val="00F11986"/>
    <w:rsid w:val="00F13035"/>
    <w:rsid w:val="00F1717B"/>
    <w:rsid w:val="00F17821"/>
    <w:rsid w:val="00F20761"/>
    <w:rsid w:val="00F21EE5"/>
    <w:rsid w:val="00F24667"/>
    <w:rsid w:val="00F24CA6"/>
    <w:rsid w:val="00F327A0"/>
    <w:rsid w:val="00F400DE"/>
    <w:rsid w:val="00F42D35"/>
    <w:rsid w:val="00F434AA"/>
    <w:rsid w:val="00F5125B"/>
    <w:rsid w:val="00F52116"/>
    <w:rsid w:val="00F56EA8"/>
    <w:rsid w:val="00F62C7E"/>
    <w:rsid w:val="00F62FDD"/>
    <w:rsid w:val="00F6332A"/>
    <w:rsid w:val="00F640AA"/>
    <w:rsid w:val="00F65F8B"/>
    <w:rsid w:val="00F66151"/>
    <w:rsid w:val="00F672F0"/>
    <w:rsid w:val="00F80547"/>
    <w:rsid w:val="00F82BE1"/>
    <w:rsid w:val="00F84EA4"/>
    <w:rsid w:val="00F85D39"/>
    <w:rsid w:val="00F86787"/>
    <w:rsid w:val="00F867AF"/>
    <w:rsid w:val="00F877E0"/>
    <w:rsid w:val="00F934C1"/>
    <w:rsid w:val="00F9501F"/>
    <w:rsid w:val="00FA154A"/>
    <w:rsid w:val="00FA3024"/>
    <w:rsid w:val="00FA3D0D"/>
    <w:rsid w:val="00FA7840"/>
    <w:rsid w:val="00FB747C"/>
    <w:rsid w:val="00FB75AE"/>
    <w:rsid w:val="00FB7DB5"/>
    <w:rsid w:val="00FC203A"/>
    <w:rsid w:val="00FC3DB1"/>
    <w:rsid w:val="00FC5365"/>
    <w:rsid w:val="00FC5481"/>
    <w:rsid w:val="00FC7637"/>
    <w:rsid w:val="00FD0B9E"/>
    <w:rsid w:val="00FD2BDF"/>
    <w:rsid w:val="00FD3264"/>
    <w:rsid w:val="00FD4165"/>
    <w:rsid w:val="00FD7383"/>
    <w:rsid w:val="00FD7881"/>
    <w:rsid w:val="00FE067E"/>
    <w:rsid w:val="00FE1FD3"/>
    <w:rsid w:val="00FE24E3"/>
    <w:rsid w:val="00FE37CB"/>
    <w:rsid w:val="00FE4828"/>
    <w:rsid w:val="00FE5881"/>
    <w:rsid w:val="00FE655A"/>
    <w:rsid w:val="00FE6B75"/>
    <w:rsid w:val="00FE7048"/>
    <w:rsid w:val="00FF0415"/>
    <w:rsid w:val="00FF1769"/>
    <w:rsid w:val="00FF18D0"/>
    <w:rsid w:val="00FF1A43"/>
    <w:rsid w:val="00FF2512"/>
    <w:rsid w:val="00FF4051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B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6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6B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(text)"/>
    <w:basedOn w:val="Normal"/>
    <w:next w:val="Normal"/>
    <w:link w:val="Heading3Char"/>
    <w:qFormat/>
    <w:rsid w:val="00566BC9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566BC9"/>
    <w:pPr>
      <w:keepNext/>
      <w:jc w:val="both"/>
      <w:outlineLvl w:val="3"/>
    </w:pPr>
    <w:rPr>
      <w:rFonts w:ascii="Arial" w:hAnsi="Arial" w:cs="Arial"/>
      <w:b/>
      <w:sz w:val="18"/>
      <w:lang w:val="hr-BA"/>
    </w:rPr>
  </w:style>
  <w:style w:type="paragraph" w:styleId="Heading5">
    <w:name w:val="heading 5"/>
    <w:basedOn w:val="Normal"/>
    <w:next w:val="Normal"/>
    <w:qFormat/>
    <w:rsid w:val="00566BC9"/>
    <w:pPr>
      <w:keepNext/>
      <w:jc w:val="center"/>
      <w:outlineLvl w:val="4"/>
    </w:pPr>
    <w:rPr>
      <w:rFonts w:ascii="Arial" w:hAnsi="Arial" w:cs="Arial"/>
      <w:b/>
      <w:spacing w:val="-4"/>
      <w:sz w:val="16"/>
      <w:szCs w:val="16"/>
      <w:lang w:val="hr-BA"/>
    </w:rPr>
  </w:style>
  <w:style w:type="paragraph" w:styleId="Heading6">
    <w:name w:val="heading 6"/>
    <w:basedOn w:val="Normal"/>
    <w:next w:val="Normal"/>
    <w:qFormat/>
    <w:rsid w:val="00566BC9"/>
    <w:pPr>
      <w:keepNext/>
      <w:jc w:val="center"/>
      <w:outlineLvl w:val="5"/>
    </w:pPr>
    <w:rPr>
      <w:rFonts w:ascii="Arial" w:hAnsi="Arial" w:cs="Arial"/>
      <w:b/>
      <w:sz w:val="18"/>
      <w:lang w:val="hr-HR"/>
    </w:rPr>
  </w:style>
  <w:style w:type="paragraph" w:styleId="Heading7">
    <w:name w:val="heading 7"/>
    <w:basedOn w:val="Normal"/>
    <w:next w:val="Normal"/>
    <w:qFormat/>
    <w:rsid w:val="00566BC9"/>
    <w:pPr>
      <w:keepNext/>
      <w:outlineLvl w:val="6"/>
    </w:pPr>
    <w:rPr>
      <w:rFonts w:ascii="Arial" w:hAnsi="Arial" w:cs="Arial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,Char1 Char,Footnote Text Char Char,Char1 Char Char,Char Char Char Char,Char Char Char,Podrozdział,Footnote Text Blue,Footnote Text1,Char,fn,FOOTNOTES,single space,ADB,ft,Te"/>
    <w:basedOn w:val="Normal"/>
    <w:link w:val="FootnoteTextChar"/>
    <w:semiHidden/>
    <w:unhideWhenUsed/>
    <w:rsid w:val="00566BC9"/>
    <w:rPr>
      <w:rFonts w:ascii="Calibri" w:eastAsia="Calibri" w:hAnsi="Calibri"/>
      <w:sz w:val="20"/>
      <w:szCs w:val="20"/>
    </w:rPr>
  </w:style>
  <w:style w:type="paragraph" w:styleId="Header">
    <w:name w:val="header"/>
    <w:aliases w:val="h,Header/Footer,header odd,Hyphen,header"/>
    <w:basedOn w:val="Normal"/>
    <w:link w:val="HeaderChar"/>
    <w:rsid w:val="00566BC9"/>
    <w:pPr>
      <w:tabs>
        <w:tab w:val="center" w:pos="4320"/>
        <w:tab w:val="right" w:pos="8640"/>
      </w:tabs>
    </w:pPr>
    <w:rPr>
      <w:sz w:val="21"/>
      <w:szCs w:val="20"/>
      <w:lang w:val="en-GB"/>
    </w:rPr>
  </w:style>
  <w:style w:type="paragraph" w:customStyle="1" w:styleId="GeneralText">
    <w:name w:val="General Text"/>
    <w:basedOn w:val="Normal"/>
    <w:rsid w:val="00566BC9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BulletAB1">
    <w:name w:val="Bullet AB1"/>
    <w:basedOn w:val="GeneralText"/>
    <w:rsid w:val="00566BC9"/>
    <w:pPr>
      <w:numPr>
        <w:numId w:val="1"/>
      </w:numPr>
      <w:tabs>
        <w:tab w:val="clear" w:pos="1080"/>
        <w:tab w:val="left" w:pos="1008"/>
      </w:tabs>
      <w:spacing w:before="0"/>
    </w:pPr>
  </w:style>
  <w:style w:type="paragraph" w:styleId="BalloonText">
    <w:name w:val="Balloon Text"/>
    <w:basedOn w:val="Normal"/>
    <w:semiHidden/>
    <w:rsid w:val="00566BC9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566B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BC9"/>
  </w:style>
  <w:style w:type="character" w:customStyle="1" w:styleId="EndnoteTextChar">
    <w:name w:val="Endnote Text Char"/>
    <w:basedOn w:val="DefaultParagraphFont"/>
    <w:link w:val="EndnoteText"/>
    <w:rsid w:val="00566BC9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aliases w:val="ftref"/>
    <w:basedOn w:val="DefaultParagraphFont"/>
    <w:semiHidden/>
    <w:unhideWhenUsed/>
    <w:rsid w:val="00566BC9"/>
    <w:rPr>
      <w:vertAlign w:val="superscript"/>
    </w:rPr>
  </w:style>
  <w:style w:type="paragraph" w:customStyle="1" w:styleId="Heading1-BFP">
    <w:name w:val="Heading 1 - BFP"/>
    <w:basedOn w:val="Heading1"/>
    <w:rsid w:val="00566BC9"/>
    <w:pPr>
      <w:spacing w:before="360" w:after="120"/>
      <w:jc w:val="center"/>
    </w:pPr>
    <w:rPr>
      <w:rFonts w:cs="Times New Roman"/>
      <w:kern w:val="28"/>
      <w:sz w:val="28"/>
      <w:szCs w:val="28"/>
      <w:lang w:val="hr-HR"/>
    </w:rPr>
  </w:style>
  <w:style w:type="paragraph" w:customStyle="1" w:styleId="Heading2-BFP">
    <w:name w:val="Heading 2 - BFP"/>
    <w:basedOn w:val="Heading2"/>
    <w:rsid w:val="00566BC9"/>
    <w:pPr>
      <w:keepNext w:val="0"/>
      <w:spacing w:before="120"/>
      <w:jc w:val="both"/>
    </w:pPr>
    <w:rPr>
      <w:i w:val="0"/>
      <w:iCs w:val="0"/>
      <w:sz w:val="22"/>
      <w:szCs w:val="22"/>
      <w:lang w:val="hr-HR"/>
    </w:rPr>
  </w:style>
  <w:style w:type="character" w:customStyle="1" w:styleId="Heading2-BFPChar">
    <w:name w:val="Heading 2 - BFP Char"/>
    <w:basedOn w:val="DefaultParagraphFont"/>
    <w:rsid w:val="00566BC9"/>
    <w:rPr>
      <w:rFonts w:ascii="Arial" w:hAnsi="Arial" w:cs="Arial"/>
      <w:b/>
      <w:bCs/>
      <w:sz w:val="22"/>
      <w:szCs w:val="22"/>
      <w:lang w:val="hr-HR" w:eastAsia="en-US" w:bidi="ar-SA"/>
    </w:rPr>
  </w:style>
  <w:style w:type="paragraph" w:styleId="BodyText3">
    <w:name w:val="Body Text 3"/>
    <w:basedOn w:val="Normal"/>
    <w:rsid w:val="00566BC9"/>
    <w:pPr>
      <w:ind w:right="-58"/>
      <w:jc w:val="both"/>
    </w:pPr>
    <w:rPr>
      <w:szCs w:val="20"/>
      <w:lang w:val="hr-HR"/>
    </w:rPr>
  </w:style>
  <w:style w:type="paragraph" w:styleId="BodyText">
    <w:name w:val="Body Text"/>
    <w:basedOn w:val="Normal"/>
    <w:rsid w:val="00566BC9"/>
    <w:pPr>
      <w:spacing w:after="120"/>
    </w:pPr>
  </w:style>
  <w:style w:type="paragraph" w:styleId="BodyText2">
    <w:name w:val="Body Text 2"/>
    <w:basedOn w:val="Normal"/>
    <w:rsid w:val="00566BC9"/>
    <w:pPr>
      <w:spacing w:after="120" w:line="480" w:lineRule="auto"/>
    </w:pPr>
  </w:style>
  <w:style w:type="paragraph" w:styleId="Title">
    <w:name w:val="Title"/>
    <w:basedOn w:val="Normal"/>
    <w:qFormat/>
    <w:rsid w:val="00566BC9"/>
    <w:pPr>
      <w:jc w:val="center"/>
    </w:pPr>
    <w:rPr>
      <w:b/>
      <w:sz w:val="28"/>
      <w:szCs w:val="20"/>
      <w:lang w:val="hr-HR" w:eastAsia="hr-HR"/>
    </w:rPr>
  </w:style>
  <w:style w:type="paragraph" w:styleId="Caption">
    <w:name w:val="caption"/>
    <w:basedOn w:val="Normal"/>
    <w:next w:val="Normal"/>
    <w:qFormat/>
    <w:rsid w:val="00566BC9"/>
    <w:pPr>
      <w:tabs>
        <w:tab w:val="left" w:pos="6585"/>
      </w:tabs>
      <w:jc w:val="center"/>
    </w:pPr>
    <w:rPr>
      <w:i/>
      <w:lang w:eastAsia="hr-HR"/>
    </w:rPr>
  </w:style>
  <w:style w:type="paragraph" w:styleId="BodyTextIndent">
    <w:name w:val="Body Text Indent"/>
    <w:basedOn w:val="Normal"/>
    <w:rsid w:val="00566BC9"/>
    <w:pPr>
      <w:ind w:firstLine="720"/>
      <w:jc w:val="both"/>
    </w:pPr>
    <w:rPr>
      <w:rFonts w:ascii="Arial" w:hAnsi="Arial" w:cs="Arial"/>
      <w:bCs/>
      <w:lang w:val="pl-PL"/>
    </w:rPr>
  </w:style>
  <w:style w:type="paragraph" w:styleId="BodyTextIndent2">
    <w:name w:val="Body Text Indent 2"/>
    <w:basedOn w:val="Normal"/>
    <w:rsid w:val="00566BC9"/>
    <w:pPr>
      <w:ind w:firstLine="720"/>
      <w:jc w:val="both"/>
    </w:pPr>
    <w:rPr>
      <w:rFonts w:ascii="Arial" w:hAnsi="Arial" w:cs="Arial"/>
      <w:color w:val="FF9900"/>
      <w:spacing w:val="-2"/>
    </w:rPr>
  </w:style>
  <w:style w:type="paragraph" w:styleId="ListParagraph">
    <w:name w:val="List Paragraph"/>
    <w:basedOn w:val="Normal"/>
    <w:qFormat/>
    <w:rsid w:val="00890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 Char1 Char,Char1 Char Char2,Footnote Text Char Char Char1,Char1 Char Char Char1,Char Char Char Char Char1,Char Char Char Char2,Podrozdział Char1,Footnote Text Blue Char,Footnote Text1 Char,Char Char1,fn Char,FOOTNOTES Char,ADB Char1"/>
    <w:basedOn w:val="DefaultParagraphFont"/>
    <w:link w:val="FootnoteText"/>
    <w:semiHidden/>
    <w:rsid w:val="00890EDB"/>
    <w:rPr>
      <w:rFonts w:ascii="Calibri" w:eastAsia="Calibri" w:hAnsi="Calibri"/>
      <w:lang w:val="en-US" w:eastAsia="en-US" w:bidi="ar-SA"/>
    </w:rPr>
  </w:style>
  <w:style w:type="character" w:customStyle="1" w:styleId="Char1CharChar1">
    <w:name w:val="Char1 Char Char1"/>
    <w:basedOn w:val="DefaultParagraphFont"/>
    <w:rsid w:val="00913B69"/>
    <w:rPr>
      <w:sz w:val="18"/>
      <w:lang w:val="hr-HR" w:eastAsia="en-US" w:bidi="ar-SA"/>
    </w:rPr>
  </w:style>
  <w:style w:type="character" w:styleId="Hyperlink">
    <w:name w:val="Hyperlink"/>
    <w:basedOn w:val="DefaultParagraphFont"/>
    <w:rsid w:val="002D750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7A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D26A46"/>
    <w:rPr>
      <w:sz w:val="16"/>
      <w:szCs w:val="16"/>
    </w:rPr>
  </w:style>
  <w:style w:type="paragraph" w:styleId="CommentText">
    <w:name w:val="annotation text"/>
    <w:basedOn w:val="Normal"/>
    <w:semiHidden/>
    <w:rsid w:val="00D26A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6A46"/>
    <w:rPr>
      <w:b/>
      <w:bCs/>
    </w:rPr>
  </w:style>
  <w:style w:type="paragraph" w:styleId="NoSpacing">
    <w:name w:val="No Spacing"/>
    <w:link w:val="NoSpacingChar"/>
    <w:qFormat/>
    <w:rsid w:val="00A829A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A829A4"/>
    <w:rPr>
      <w:rFonts w:ascii="Calibri" w:hAnsi="Calibri"/>
      <w:sz w:val="22"/>
      <w:szCs w:val="22"/>
      <w:lang w:val="en-US" w:eastAsia="en-US" w:bidi="ar-SA"/>
    </w:rPr>
  </w:style>
  <w:style w:type="character" w:customStyle="1" w:styleId="Heading3Char">
    <w:name w:val="Heading 3 Char"/>
    <w:aliases w:val="(text) Char"/>
    <w:basedOn w:val="DefaultParagraphFont"/>
    <w:link w:val="Heading3"/>
    <w:semiHidden/>
    <w:rsid w:val="00A829A4"/>
    <w:rPr>
      <w:rFonts w:ascii="Arial" w:hAnsi="Arial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qFormat/>
    <w:rsid w:val="00A54729"/>
    <w:pPr>
      <w:tabs>
        <w:tab w:val="left" w:pos="1440"/>
        <w:tab w:val="right" w:leader="dot" w:pos="8630"/>
      </w:tabs>
      <w:jc w:val="both"/>
    </w:pPr>
    <w:rPr>
      <w:b/>
      <w:noProof/>
      <w:spacing w:val="-4"/>
      <w:lang w:val="bs-Latn-BA"/>
    </w:rPr>
  </w:style>
  <w:style w:type="paragraph" w:styleId="EndnoteText">
    <w:name w:val="endnote text"/>
    <w:basedOn w:val="Normal"/>
    <w:link w:val="EndnoteTextChar"/>
    <w:unhideWhenUsed/>
    <w:rsid w:val="00770BD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har1CharChar10">
    <w:name w:val="Char1 Char Char1"/>
    <w:aliases w:val="Footnote Text Char Char Char,Char1 Char Char Char,Char Char Char Char Char,Char Char Char Char1,Podrozdział Char,Footnote Text Blue Char2,Footnote Text1 Char2,Char Char,fn Char1,FOOTNOTES Char1,single space Char1,ADB Char,ft Char"/>
    <w:locked/>
    <w:rsid w:val="009329CB"/>
    <w:rPr>
      <w:sz w:val="18"/>
      <w:szCs w:val="18"/>
      <w:lang w:val="hr-HR"/>
    </w:rPr>
  </w:style>
  <w:style w:type="paragraph" w:customStyle="1" w:styleId="Default">
    <w:name w:val="Default"/>
    <w:rsid w:val="00751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customStyle="1" w:styleId="Bodytext0">
    <w:name w:val="Body text_"/>
    <w:basedOn w:val="DefaultParagraphFont"/>
    <w:link w:val="Bodytext1"/>
    <w:locked/>
    <w:rsid w:val="00ED171F"/>
    <w:rPr>
      <w:rFonts w:ascii="Arial" w:hAnsi="Arial"/>
      <w:sz w:val="19"/>
      <w:szCs w:val="19"/>
      <w:lang w:bidi="ar-SA"/>
    </w:rPr>
  </w:style>
  <w:style w:type="paragraph" w:customStyle="1" w:styleId="Bodytext1">
    <w:name w:val="Body text1"/>
    <w:basedOn w:val="Normal"/>
    <w:link w:val="Bodytext0"/>
    <w:rsid w:val="00ED171F"/>
    <w:pPr>
      <w:widowControl w:val="0"/>
      <w:shd w:val="clear" w:color="auto" w:fill="FFFFFF"/>
      <w:spacing w:line="288" w:lineRule="exact"/>
      <w:ind w:hanging="2120"/>
      <w:jc w:val="both"/>
    </w:pPr>
    <w:rPr>
      <w:rFonts w:ascii="Arial" w:hAnsi="Arial"/>
      <w:sz w:val="19"/>
      <w:szCs w:val="19"/>
      <w:lang w:val="bs-Latn-BA" w:eastAsia="bs-Latn-BA"/>
    </w:rPr>
  </w:style>
  <w:style w:type="character" w:customStyle="1" w:styleId="Bodytext4">
    <w:name w:val="Body text"/>
    <w:basedOn w:val="Bodytext0"/>
    <w:rsid w:val="00466F1F"/>
    <w:rPr>
      <w:rFonts w:eastAsia="Times New Roman" w:cs="Arial"/>
      <w:color w:val="FFFFFF"/>
      <w:spacing w:val="0"/>
      <w:w w:val="100"/>
      <w:position w:val="0"/>
      <w:u w:val="none"/>
      <w:lang w:val="hr-HR"/>
    </w:rPr>
  </w:style>
  <w:style w:type="character" w:customStyle="1" w:styleId="Heading50">
    <w:name w:val="Heading #5_"/>
    <w:basedOn w:val="DefaultParagraphFont"/>
    <w:link w:val="Heading51"/>
    <w:locked/>
    <w:rsid w:val="00466F1F"/>
    <w:rPr>
      <w:rFonts w:ascii="Arial" w:hAnsi="Arial"/>
      <w:sz w:val="19"/>
      <w:szCs w:val="19"/>
      <w:lang w:bidi="ar-SA"/>
    </w:rPr>
  </w:style>
  <w:style w:type="paragraph" w:customStyle="1" w:styleId="Heading51">
    <w:name w:val="Heading #5"/>
    <w:basedOn w:val="Normal"/>
    <w:link w:val="Heading50"/>
    <w:rsid w:val="00466F1F"/>
    <w:pPr>
      <w:widowControl w:val="0"/>
      <w:shd w:val="clear" w:color="auto" w:fill="FFFFFF"/>
      <w:spacing w:line="240" w:lineRule="atLeast"/>
      <w:ind w:hanging="720"/>
      <w:jc w:val="both"/>
      <w:outlineLvl w:val="4"/>
    </w:pPr>
    <w:rPr>
      <w:rFonts w:ascii="Arial" w:hAnsi="Arial"/>
      <w:sz w:val="19"/>
      <w:szCs w:val="19"/>
      <w:lang w:val="bs-Latn-BA" w:eastAsia="bs-Latn-BA"/>
    </w:rPr>
  </w:style>
  <w:style w:type="character" w:customStyle="1" w:styleId="Heading60">
    <w:name w:val="Heading #6_"/>
    <w:basedOn w:val="DefaultParagraphFont"/>
    <w:link w:val="Heading61"/>
    <w:locked/>
    <w:rsid w:val="00635948"/>
    <w:rPr>
      <w:rFonts w:ascii="Arial" w:hAnsi="Arial"/>
      <w:sz w:val="19"/>
      <w:szCs w:val="19"/>
      <w:lang w:bidi="ar-SA"/>
    </w:rPr>
  </w:style>
  <w:style w:type="paragraph" w:customStyle="1" w:styleId="Heading61">
    <w:name w:val="Heading #6"/>
    <w:basedOn w:val="Normal"/>
    <w:link w:val="Heading60"/>
    <w:rsid w:val="00635948"/>
    <w:pPr>
      <w:widowControl w:val="0"/>
      <w:shd w:val="clear" w:color="auto" w:fill="FFFFFF"/>
      <w:spacing w:line="240" w:lineRule="atLeast"/>
      <w:jc w:val="both"/>
      <w:outlineLvl w:val="5"/>
    </w:pPr>
    <w:rPr>
      <w:rFonts w:ascii="Arial" w:hAnsi="Arial"/>
      <w:sz w:val="19"/>
      <w:szCs w:val="19"/>
      <w:lang w:val="bs-Latn-BA" w:eastAsia="bs-Latn-BA"/>
    </w:rPr>
  </w:style>
  <w:style w:type="character" w:customStyle="1" w:styleId="Bodytext6">
    <w:name w:val="Body text6"/>
    <w:basedOn w:val="Bodytext0"/>
    <w:rsid w:val="00635948"/>
    <w:rPr>
      <w:rFonts w:eastAsia="Times New Roman" w:cs="Arial"/>
      <w:color w:val="000000"/>
      <w:spacing w:val="0"/>
      <w:w w:val="100"/>
      <w:position w:val="0"/>
      <w:u w:val="none"/>
      <w:lang w:val="hr-HR"/>
    </w:rPr>
  </w:style>
  <w:style w:type="character" w:customStyle="1" w:styleId="Footnote">
    <w:name w:val="Footnote_"/>
    <w:basedOn w:val="DefaultParagraphFont"/>
    <w:link w:val="Footnote0"/>
    <w:rsid w:val="00BB01CC"/>
    <w:rPr>
      <w:rFonts w:ascii="Franklin Gothic Medium" w:eastAsia="Franklin Gothic Medium" w:hAnsi="Franklin Gothic Medium"/>
      <w:b/>
      <w:bCs/>
      <w:sz w:val="18"/>
      <w:szCs w:val="18"/>
      <w:lang w:bidi="ar-SA"/>
    </w:rPr>
  </w:style>
  <w:style w:type="paragraph" w:customStyle="1" w:styleId="Footnote0">
    <w:name w:val="Footnote"/>
    <w:basedOn w:val="Normal"/>
    <w:link w:val="Footnote"/>
    <w:rsid w:val="00BB01CC"/>
    <w:pPr>
      <w:widowControl w:val="0"/>
      <w:shd w:val="clear" w:color="auto" w:fill="FFFFFF"/>
      <w:spacing w:line="221" w:lineRule="exact"/>
      <w:jc w:val="both"/>
    </w:pPr>
    <w:rPr>
      <w:rFonts w:ascii="Franklin Gothic Medium" w:eastAsia="Franklin Gothic Medium" w:hAnsi="Franklin Gothic Medium"/>
      <w:b/>
      <w:bCs/>
      <w:sz w:val="18"/>
      <w:szCs w:val="18"/>
      <w:lang w:val="bs-Latn-BA" w:eastAsia="bs-Latn-BA"/>
    </w:rPr>
  </w:style>
  <w:style w:type="character" w:customStyle="1" w:styleId="Footnote2">
    <w:name w:val="Footnote (2)_"/>
    <w:basedOn w:val="DefaultParagraphFont"/>
    <w:link w:val="Footnote20"/>
    <w:rsid w:val="006C52BF"/>
    <w:rPr>
      <w:rFonts w:ascii="Calibri" w:eastAsia="Calibri" w:hAnsi="Calibri"/>
      <w:sz w:val="16"/>
      <w:szCs w:val="16"/>
      <w:lang w:bidi="ar-SA"/>
    </w:rPr>
  </w:style>
  <w:style w:type="paragraph" w:customStyle="1" w:styleId="Footnote20">
    <w:name w:val="Footnote (2)"/>
    <w:basedOn w:val="Normal"/>
    <w:link w:val="Footnote2"/>
    <w:rsid w:val="006C52BF"/>
    <w:pPr>
      <w:widowControl w:val="0"/>
      <w:shd w:val="clear" w:color="auto" w:fill="FFFFFF"/>
      <w:spacing w:line="226" w:lineRule="exact"/>
    </w:pPr>
    <w:rPr>
      <w:rFonts w:ascii="Calibri" w:eastAsia="Calibri" w:hAnsi="Calibri"/>
      <w:sz w:val="16"/>
      <w:szCs w:val="16"/>
      <w:lang w:val="bs-Latn-BA" w:eastAsia="bs-Latn-BA"/>
    </w:rPr>
  </w:style>
  <w:style w:type="character" w:customStyle="1" w:styleId="Heading30">
    <w:name w:val="Heading #3_"/>
    <w:basedOn w:val="DefaultParagraphFont"/>
    <w:link w:val="Heading31"/>
    <w:rsid w:val="00EF700F"/>
    <w:rPr>
      <w:rFonts w:ascii="Arial" w:hAnsi="Arial"/>
      <w:b/>
      <w:bCs/>
      <w:sz w:val="23"/>
      <w:szCs w:val="23"/>
      <w:lang w:bidi="ar-SA"/>
    </w:rPr>
  </w:style>
  <w:style w:type="character" w:customStyle="1" w:styleId="Heading32">
    <w:name w:val="Heading #3"/>
    <w:basedOn w:val="Heading30"/>
    <w:rsid w:val="00EF700F"/>
  </w:style>
  <w:style w:type="character" w:customStyle="1" w:styleId="Tablecaption">
    <w:name w:val="Table caption_"/>
    <w:basedOn w:val="DefaultParagraphFont"/>
    <w:link w:val="Tablecaption0"/>
    <w:rsid w:val="00EF700F"/>
    <w:rPr>
      <w:rFonts w:ascii="Arial" w:hAnsi="Arial"/>
      <w:i/>
      <w:iCs/>
      <w:lang w:bidi="ar-SA"/>
    </w:rPr>
  </w:style>
  <w:style w:type="character" w:customStyle="1" w:styleId="Bodytext10">
    <w:name w:val="Body text + 10"/>
    <w:aliases w:val="5 pt,Bold"/>
    <w:basedOn w:val="Bodytext0"/>
    <w:rsid w:val="00EF700F"/>
    <w:rPr>
      <w:rFonts w:cs="Arial"/>
      <w:b/>
      <w:bCs/>
      <w:sz w:val="21"/>
      <w:szCs w:val="21"/>
      <w:u w:val="none"/>
    </w:rPr>
  </w:style>
  <w:style w:type="paragraph" w:customStyle="1" w:styleId="Heading31">
    <w:name w:val="Heading #31"/>
    <w:basedOn w:val="Normal"/>
    <w:link w:val="Heading30"/>
    <w:rsid w:val="00EF700F"/>
    <w:pPr>
      <w:widowControl w:val="0"/>
      <w:shd w:val="clear" w:color="auto" w:fill="FFFFFF"/>
      <w:spacing w:before="60" w:after="60" w:line="322" w:lineRule="exact"/>
      <w:jc w:val="both"/>
      <w:outlineLvl w:val="2"/>
    </w:pPr>
    <w:rPr>
      <w:rFonts w:ascii="Arial" w:hAnsi="Arial"/>
      <w:b/>
      <w:bCs/>
      <w:sz w:val="23"/>
      <w:szCs w:val="23"/>
      <w:lang w:val="bs-Latn-BA" w:eastAsia="bs-Latn-BA"/>
    </w:rPr>
  </w:style>
  <w:style w:type="paragraph" w:customStyle="1" w:styleId="Tablecaption0">
    <w:name w:val="Table caption"/>
    <w:basedOn w:val="Normal"/>
    <w:link w:val="Tablecaption"/>
    <w:rsid w:val="00EF700F"/>
    <w:pPr>
      <w:widowControl w:val="0"/>
      <w:shd w:val="clear" w:color="auto" w:fill="FFFFFF"/>
      <w:spacing w:line="240" w:lineRule="atLeast"/>
    </w:pPr>
    <w:rPr>
      <w:rFonts w:ascii="Arial" w:hAnsi="Arial"/>
      <w:i/>
      <w:iCs/>
      <w:sz w:val="20"/>
      <w:szCs w:val="20"/>
      <w:lang w:val="bs-Latn-BA" w:eastAsia="bs-Latn-BA"/>
    </w:rPr>
  </w:style>
  <w:style w:type="character" w:customStyle="1" w:styleId="Tablecaption2">
    <w:name w:val="Table caption (2)_"/>
    <w:basedOn w:val="DefaultParagraphFont"/>
    <w:link w:val="Tablecaption21"/>
    <w:rsid w:val="001D53E7"/>
    <w:rPr>
      <w:rFonts w:ascii="Arial" w:hAnsi="Arial"/>
      <w:lang w:bidi="ar-SA"/>
    </w:rPr>
  </w:style>
  <w:style w:type="character" w:customStyle="1" w:styleId="Bodytext7">
    <w:name w:val="Body text + 7"/>
    <w:aliases w:val="5 pt7"/>
    <w:basedOn w:val="Bodytext0"/>
    <w:rsid w:val="001D53E7"/>
    <w:rPr>
      <w:rFonts w:cs="Arial"/>
      <w:sz w:val="15"/>
      <w:szCs w:val="15"/>
      <w:u w:val="none"/>
    </w:rPr>
  </w:style>
  <w:style w:type="paragraph" w:customStyle="1" w:styleId="Tablecaption21">
    <w:name w:val="Table caption (2)1"/>
    <w:basedOn w:val="Normal"/>
    <w:link w:val="Tablecaption2"/>
    <w:rsid w:val="001D53E7"/>
    <w:pPr>
      <w:widowControl w:val="0"/>
      <w:shd w:val="clear" w:color="auto" w:fill="FFFFFF"/>
      <w:spacing w:line="240" w:lineRule="atLeast"/>
    </w:pPr>
    <w:rPr>
      <w:rFonts w:ascii="Arial" w:hAnsi="Arial"/>
      <w:sz w:val="20"/>
      <w:szCs w:val="20"/>
      <w:lang w:val="bs-Latn-BA" w:eastAsia="bs-Latn-BA"/>
    </w:rPr>
  </w:style>
  <w:style w:type="character" w:customStyle="1" w:styleId="BodytextItalic">
    <w:name w:val="Body text + Italic"/>
    <w:basedOn w:val="Bodytext0"/>
    <w:rsid w:val="0098171D"/>
    <w:rPr>
      <w:rFonts w:ascii="Calibri" w:hAnsi="Calibri" w:cs="Calibri"/>
      <w:i/>
      <w:iCs/>
      <w:sz w:val="21"/>
      <w:szCs w:val="21"/>
      <w:u w:val="none"/>
    </w:rPr>
  </w:style>
  <w:style w:type="character" w:customStyle="1" w:styleId="Bodytext20">
    <w:name w:val="Body text (2)_"/>
    <w:basedOn w:val="DefaultParagraphFont"/>
    <w:link w:val="Bodytext21"/>
    <w:rsid w:val="004A1859"/>
    <w:rPr>
      <w:rFonts w:ascii="Arial" w:hAnsi="Arial"/>
      <w:i/>
      <w:iCs/>
      <w:lang w:bidi="ar-SA"/>
    </w:rPr>
  </w:style>
  <w:style w:type="paragraph" w:customStyle="1" w:styleId="Bodytext21">
    <w:name w:val="Body text (2)"/>
    <w:basedOn w:val="Normal"/>
    <w:link w:val="Bodytext20"/>
    <w:rsid w:val="004A1859"/>
    <w:pPr>
      <w:widowControl w:val="0"/>
      <w:shd w:val="clear" w:color="auto" w:fill="FFFFFF"/>
      <w:spacing w:after="300" w:line="240" w:lineRule="atLeast"/>
      <w:jc w:val="both"/>
    </w:pPr>
    <w:rPr>
      <w:rFonts w:ascii="Arial" w:hAnsi="Arial"/>
      <w:i/>
      <w:iCs/>
      <w:sz w:val="20"/>
      <w:szCs w:val="20"/>
      <w:lang w:val="bs-Latn-BA" w:eastAsia="bs-Latn-BA"/>
    </w:rPr>
  </w:style>
  <w:style w:type="character" w:customStyle="1" w:styleId="Bodytext9">
    <w:name w:val="Body text (9)_"/>
    <w:basedOn w:val="DefaultParagraphFont"/>
    <w:link w:val="Bodytext90"/>
    <w:rsid w:val="000819CE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0819CE"/>
    <w:pPr>
      <w:widowControl w:val="0"/>
      <w:shd w:val="clear" w:color="auto" w:fill="FFFFFF"/>
      <w:spacing w:before="360" w:line="264" w:lineRule="exact"/>
      <w:ind w:hanging="420"/>
    </w:pPr>
    <w:rPr>
      <w:rFonts w:ascii="Calibri" w:eastAsia="Calibri" w:hAnsi="Calibri" w:cs="Calibri"/>
      <w:i/>
      <w:iCs/>
      <w:sz w:val="20"/>
      <w:szCs w:val="20"/>
      <w:lang w:val="bs-Latn-BA" w:eastAsia="bs-Latn-BA"/>
    </w:rPr>
  </w:style>
  <w:style w:type="character" w:customStyle="1" w:styleId="BodytextGeorgia95ptSpacing1pt">
    <w:name w:val="Body text + Georgia;9;5 pt;Spacing 1 pt"/>
    <w:basedOn w:val="Bodytext0"/>
    <w:rsid w:val="006043E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hr-HR"/>
    </w:rPr>
  </w:style>
  <w:style w:type="character" w:customStyle="1" w:styleId="BodytextBold">
    <w:name w:val="Body text + Bold"/>
    <w:basedOn w:val="Bodytext0"/>
    <w:rsid w:val="006043E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FootnoteGeorgia95ptSpacing1pt">
    <w:name w:val="Footnote + Georgia;9;5 pt;Spacing 1 pt"/>
    <w:basedOn w:val="Footnote"/>
    <w:rsid w:val="009C7BE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r-HR"/>
    </w:rPr>
  </w:style>
  <w:style w:type="character" w:customStyle="1" w:styleId="Bodytext40">
    <w:name w:val="Body text (4)_"/>
    <w:basedOn w:val="DefaultParagraphFont"/>
    <w:rsid w:val="009C7BEC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0"/>
    <w:rsid w:val="009C7BEC"/>
    <w:rPr>
      <w:color w:val="000000"/>
      <w:spacing w:val="0"/>
      <w:w w:val="100"/>
      <w:position w:val="0"/>
      <w:lang w:val="hr-HR"/>
    </w:rPr>
  </w:style>
  <w:style w:type="character" w:customStyle="1" w:styleId="Bodytext14">
    <w:name w:val="Body text (14)_"/>
    <w:basedOn w:val="DefaultParagraphFont"/>
    <w:rsid w:val="009C7BE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0">
    <w:name w:val="Body text (14)"/>
    <w:basedOn w:val="Bodytext14"/>
    <w:rsid w:val="009C7BEC"/>
    <w:rPr>
      <w:color w:val="000000"/>
      <w:spacing w:val="0"/>
      <w:w w:val="100"/>
      <w:position w:val="0"/>
      <w:lang w:val="hr-HR"/>
    </w:rPr>
  </w:style>
  <w:style w:type="character" w:customStyle="1" w:styleId="Headerorfooter">
    <w:name w:val="Header or footer_"/>
    <w:basedOn w:val="DefaultParagraphFont"/>
    <w:link w:val="Headerorfooter0"/>
    <w:rsid w:val="009C7BEC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HeaderorfooterArial9pt">
    <w:name w:val="Header or footer + Arial;9 pt"/>
    <w:basedOn w:val="Headerorfooter"/>
    <w:rsid w:val="009C7BEC"/>
    <w:rPr>
      <w:rFonts w:ascii="Arial" w:eastAsia="Arial" w:hAnsi="Arial" w:cs="Arial"/>
      <w:color w:val="FFFFFF"/>
      <w:spacing w:val="0"/>
      <w:w w:val="100"/>
      <w:position w:val="0"/>
      <w:sz w:val="18"/>
      <w:szCs w:val="18"/>
      <w:lang w:val="hr-HR"/>
    </w:rPr>
  </w:style>
  <w:style w:type="paragraph" w:customStyle="1" w:styleId="Headerorfooter0">
    <w:name w:val="Header or footer"/>
    <w:basedOn w:val="Normal"/>
    <w:link w:val="Headerorfooter"/>
    <w:rsid w:val="009C7BEC"/>
    <w:pPr>
      <w:widowControl w:val="0"/>
      <w:shd w:val="clear" w:color="auto" w:fill="FFFFFF"/>
      <w:spacing w:line="187" w:lineRule="exact"/>
    </w:pPr>
    <w:rPr>
      <w:rFonts w:ascii="Verdana" w:eastAsia="Verdana" w:hAnsi="Verdana" w:cs="Verdana"/>
      <w:sz w:val="13"/>
      <w:szCs w:val="13"/>
      <w:lang w:val="bs-Latn-BA" w:eastAsia="bs-Latn-BA"/>
    </w:rPr>
  </w:style>
  <w:style w:type="character" w:customStyle="1" w:styleId="HeaderorfooterCalibri105ptBold">
    <w:name w:val="Header or footer + Calibri;10;5 pt;Bold"/>
    <w:basedOn w:val="Headerorfooter"/>
    <w:rsid w:val="00CF0A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HeaderorfooterCalibri75ptItalic">
    <w:name w:val="Header or footer + Calibri;7;5 pt;Italic"/>
    <w:basedOn w:val="Headerorfooter"/>
    <w:rsid w:val="00CF0A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Exact">
    <w:name w:val="Body text Exact"/>
    <w:basedOn w:val="DefaultParagraphFont"/>
    <w:rsid w:val="00B30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Heading40">
    <w:name w:val="Heading #4_"/>
    <w:basedOn w:val="DefaultParagraphFont"/>
    <w:rsid w:val="00C57EC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"/>
    <w:basedOn w:val="Heading40"/>
    <w:rsid w:val="00C57EC9"/>
    <w:rPr>
      <w:color w:val="000000"/>
      <w:spacing w:val="0"/>
      <w:w w:val="100"/>
      <w:position w:val="0"/>
      <w:lang w:val="hr-HR"/>
    </w:rPr>
  </w:style>
  <w:style w:type="character" w:customStyle="1" w:styleId="Bodytext30">
    <w:name w:val="Body text (3)_"/>
    <w:basedOn w:val="DefaultParagraphFont"/>
    <w:rsid w:val="00A3655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0"/>
    <w:rsid w:val="00A3655A"/>
    <w:rPr>
      <w:color w:val="000000"/>
      <w:spacing w:val="0"/>
      <w:w w:val="100"/>
      <w:position w:val="0"/>
      <w:lang w:val="hr-HR"/>
    </w:rPr>
  </w:style>
  <w:style w:type="character" w:customStyle="1" w:styleId="HeaderChar">
    <w:name w:val="Header Char"/>
    <w:aliases w:val="h Char,Header/Footer Char,header odd Char,Hyphen Char,header Char"/>
    <w:basedOn w:val="DefaultParagraphFont"/>
    <w:link w:val="Header"/>
    <w:rsid w:val="006F535B"/>
    <w:rPr>
      <w:sz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vidovici.b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E51D-4C21-4B79-A8D0-42AC7116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46939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Kurevic</dc:creator>
  <cp:lastModifiedBy>Korisnik</cp:lastModifiedBy>
  <cp:revision>29</cp:revision>
  <cp:lastPrinted>2018-07-10T06:17:00Z</cp:lastPrinted>
  <dcterms:created xsi:type="dcterms:W3CDTF">2018-06-29T07:36:00Z</dcterms:created>
  <dcterms:modified xsi:type="dcterms:W3CDTF">2018-07-10T06:18:00Z</dcterms:modified>
</cp:coreProperties>
</file>